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98D" w:rsidRPr="00513DD4" w:rsidRDefault="00A9498D" w:rsidP="00AB3EA9">
      <w:pPr>
        <w:rPr>
          <w:lang w:val="en-US"/>
        </w:rPr>
      </w:pPr>
      <w:bookmarkStart w:id="0" w:name="_Hlk43816678"/>
    </w:p>
    <w:p w:rsidR="00A9498D" w:rsidRDefault="00A9498D" w:rsidP="00A9498D">
      <w:pPr>
        <w:spacing w:before="120"/>
        <w:jc w:val="center"/>
        <w:rPr>
          <w:b/>
          <w:sz w:val="32"/>
          <w:szCs w:val="32"/>
        </w:rPr>
      </w:pPr>
    </w:p>
    <w:p w:rsidR="00A9498D" w:rsidRDefault="00A9498D" w:rsidP="00A9498D">
      <w:pPr>
        <w:spacing w:before="120"/>
        <w:jc w:val="center"/>
        <w:rPr>
          <w:b/>
          <w:sz w:val="32"/>
          <w:szCs w:val="32"/>
        </w:rPr>
      </w:pPr>
    </w:p>
    <w:p w:rsidR="00791E94" w:rsidRDefault="00791E94" w:rsidP="00233740">
      <w:pPr>
        <w:pStyle w:val="Title"/>
      </w:pPr>
    </w:p>
    <w:p w:rsidR="00791E94" w:rsidRDefault="00791E94" w:rsidP="00233740">
      <w:pPr>
        <w:pStyle w:val="Title"/>
      </w:pPr>
    </w:p>
    <w:p w:rsidR="0006204E" w:rsidRDefault="000C7541" w:rsidP="00233740">
      <w:pPr>
        <w:pStyle w:val="Title"/>
      </w:pPr>
      <w:bookmarkStart w:id="1" w:name="_Toc45630205"/>
      <w:bookmarkStart w:id="2" w:name="_Toc45630295"/>
      <w:bookmarkStart w:id="3" w:name="_Toc45718793"/>
      <w:r>
        <w:t>1.12</w:t>
      </w:r>
      <w:r w:rsidR="00714C85">
        <w:t xml:space="preserve">. </w:t>
      </w:r>
      <w:r w:rsidR="0006204E" w:rsidRPr="00642983">
        <w:t xml:space="preserve">Анализ на </w:t>
      </w:r>
      <w:r w:rsidR="0006204E">
        <w:t xml:space="preserve">финансовите потоци в управлението на отпадъците в България </w:t>
      </w:r>
      <w:bookmarkEnd w:id="1"/>
      <w:bookmarkEnd w:id="2"/>
      <w:bookmarkEnd w:id="3"/>
    </w:p>
    <w:p w:rsidR="00203239" w:rsidRDefault="00203239" w:rsidP="00203239"/>
    <w:p w:rsidR="00203239" w:rsidRPr="00513DD4" w:rsidRDefault="00203239" w:rsidP="00203239">
      <w:pPr>
        <w:rPr>
          <w:lang w:val="en-US"/>
        </w:rPr>
        <w:sectPr w:rsidR="00203239" w:rsidRPr="00513DD4" w:rsidSect="00F912D8">
          <w:headerReference w:type="default" r:id="rId8"/>
          <w:footerReference w:type="default" r:id="rId9"/>
          <w:type w:val="continuous"/>
          <w:pgSz w:w="11906" w:h="16838" w:code="9"/>
          <w:pgMar w:top="1417" w:right="1417" w:bottom="1417" w:left="1417" w:header="708" w:footer="0" w:gutter="0"/>
          <w:pgNumType w:start="387"/>
          <w:cols w:space="708"/>
          <w:docGrid w:linePitch="360"/>
        </w:sectPr>
      </w:pPr>
    </w:p>
    <w:p w:rsidR="00595644" w:rsidRPr="00714C85" w:rsidRDefault="00595644" w:rsidP="00595644">
      <w:pPr>
        <w:jc w:val="center"/>
        <w:rPr>
          <w:b/>
          <w:sz w:val="28"/>
          <w:szCs w:val="28"/>
        </w:rPr>
      </w:pPr>
      <w:r w:rsidRPr="00714C85">
        <w:rPr>
          <w:b/>
          <w:sz w:val="28"/>
          <w:szCs w:val="28"/>
        </w:rPr>
        <w:lastRenderedPageBreak/>
        <w:t>СЪДЪРЖАНИЕ</w:t>
      </w:r>
    </w:p>
    <w:bookmarkEnd w:id="0"/>
    <w:p w:rsidR="00935E3C" w:rsidRDefault="00935E3C" w:rsidP="00935E3C">
      <w:pPr>
        <w:pStyle w:val="TOC1"/>
        <w:rPr>
          <w:rFonts w:cs="Arial"/>
          <w:caps/>
          <w:noProof/>
        </w:rPr>
      </w:pPr>
    </w:p>
    <w:p w:rsidR="00F912D8" w:rsidRDefault="00680D95">
      <w:pPr>
        <w:pStyle w:val="TOC1"/>
        <w:rPr>
          <w:rFonts w:eastAsiaTheme="minorEastAsia" w:cstheme="minorBidi"/>
          <w:noProof/>
          <w:sz w:val="22"/>
          <w:szCs w:val="22"/>
          <w:lang w:val="en-US"/>
        </w:rPr>
      </w:pPr>
      <w:r>
        <w:rPr>
          <w:rFonts w:cs="Arial"/>
          <w:caps/>
          <w:noProof/>
        </w:rPr>
        <w:fldChar w:fldCharType="begin"/>
      </w:r>
      <w:r w:rsidR="00935E3C">
        <w:rPr>
          <w:rFonts w:cs="Arial"/>
          <w:caps/>
          <w:noProof/>
        </w:rPr>
        <w:instrText xml:space="preserve"> TOC \o "4-4" \h \z \t "Heading 1;1;Heading 2;2;Heading 3;3;report_subsubhead;3;Заглавие 1;1;Заглавие 2;2;Заглавие 3;3;заглавие 4;4" </w:instrText>
      </w:r>
      <w:r>
        <w:rPr>
          <w:rFonts w:cs="Arial"/>
          <w:caps/>
          <w:noProof/>
        </w:rPr>
        <w:fldChar w:fldCharType="separate"/>
      </w:r>
      <w:hyperlink w:anchor="_Toc68855848" w:history="1">
        <w:r w:rsidR="00F912D8" w:rsidRPr="00607DC4">
          <w:rPr>
            <w:rStyle w:val="Hyperlink"/>
            <w:noProof/>
          </w:rPr>
          <w:t>I.</w:t>
        </w:r>
        <w:r w:rsidR="00F912D8">
          <w:rPr>
            <w:rFonts w:eastAsiaTheme="minorEastAsia" w:cstheme="minorBidi"/>
            <w:noProof/>
            <w:sz w:val="22"/>
            <w:szCs w:val="22"/>
            <w:lang w:val="en-US"/>
          </w:rPr>
          <w:tab/>
        </w:r>
        <w:r w:rsidR="00F912D8" w:rsidRPr="00607DC4">
          <w:rPr>
            <w:rStyle w:val="Hyperlink"/>
            <w:noProof/>
          </w:rPr>
          <w:t>Разходи за управление на отпадъците</w:t>
        </w:r>
        <w:r w:rsidR="00F912D8">
          <w:rPr>
            <w:noProof/>
            <w:webHidden/>
          </w:rPr>
          <w:tab/>
        </w:r>
        <w:r w:rsidR="00F912D8">
          <w:rPr>
            <w:noProof/>
            <w:webHidden/>
          </w:rPr>
          <w:fldChar w:fldCharType="begin"/>
        </w:r>
        <w:r w:rsidR="00F912D8">
          <w:rPr>
            <w:noProof/>
            <w:webHidden/>
          </w:rPr>
          <w:instrText xml:space="preserve"> PAGEREF _Toc68855848 \h </w:instrText>
        </w:r>
        <w:r w:rsidR="00F912D8">
          <w:rPr>
            <w:noProof/>
            <w:webHidden/>
          </w:rPr>
        </w:r>
        <w:r w:rsidR="00F912D8">
          <w:rPr>
            <w:noProof/>
            <w:webHidden/>
          </w:rPr>
          <w:fldChar w:fldCharType="separate"/>
        </w:r>
        <w:r w:rsidR="00F912D8">
          <w:rPr>
            <w:noProof/>
            <w:webHidden/>
          </w:rPr>
          <w:t>390</w:t>
        </w:r>
        <w:r w:rsidR="00F912D8">
          <w:rPr>
            <w:noProof/>
            <w:webHidden/>
          </w:rPr>
          <w:fldChar w:fldCharType="end"/>
        </w:r>
      </w:hyperlink>
    </w:p>
    <w:p w:rsidR="00F912D8" w:rsidRDefault="00F912D8">
      <w:pPr>
        <w:pStyle w:val="TOC1"/>
        <w:rPr>
          <w:rFonts w:eastAsiaTheme="minorEastAsia" w:cstheme="minorBidi"/>
          <w:noProof/>
          <w:sz w:val="22"/>
          <w:szCs w:val="22"/>
          <w:lang w:val="en-US"/>
        </w:rPr>
      </w:pPr>
      <w:hyperlink w:anchor="_Toc68855849" w:history="1">
        <w:r w:rsidRPr="00607DC4">
          <w:rPr>
            <w:rStyle w:val="Hyperlink"/>
            <w:noProof/>
          </w:rPr>
          <w:t>II.</w:t>
        </w:r>
        <w:r>
          <w:rPr>
            <w:rFonts w:eastAsiaTheme="minorEastAsia" w:cstheme="minorBidi"/>
            <w:noProof/>
            <w:sz w:val="22"/>
            <w:szCs w:val="22"/>
            <w:lang w:val="en-US"/>
          </w:rPr>
          <w:tab/>
        </w:r>
        <w:r w:rsidRPr="00607DC4">
          <w:rPr>
            <w:rStyle w:val="Hyperlink"/>
            <w:noProof/>
          </w:rPr>
          <w:t>Финансиране на разходите за управление на отпадъците в българия</w:t>
        </w:r>
        <w:r>
          <w:rPr>
            <w:noProof/>
            <w:webHidden/>
          </w:rPr>
          <w:tab/>
        </w:r>
        <w:r>
          <w:rPr>
            <w:noProof/>
            <w:webHidden/>
          </w:rPr>
          <w:fldChar w:fldCharType="begin"/>
        </w:r>
        <w:r>
          <w:rPr>
            <w:noProof/>
            <w:webHidden/>
          </w:rPr>
          <w:instrText xml:space="preserve"> PAGEREF _Toc68855849 \h </w:instrText>
        </w:r>
        <w:r>
          <w:rPr>
            <w:noProof/>
            <w:webHidden/>
          </w:rPr>
        </w:r>
        <w:r>
          <w:rPr>
            <w:noProof/>
            <w:webHidden/>
          </w:rPr>
          <w:fldChar w:fldCharType="separate"/>
        </w:r>
        <w:r>
          <w:rPr>
            <w:noProof/>
            <w:webHidden/>
          </w:rPr>
          <w:t>395</w:t>
        </w:r>
        <w:r>
          <w:rPr>
            <w:noProof/>
            <w:webHidden/>
          </w:rPr>
          <w:fldChar w:fldCharType="end"/>
        </w:r>
      </w:hyperlink>
    </w:p>
    <w:p w:rsidR="00F912D8" w:rsidRDefault="00F912D8">
      <w:pPr>
        <w:pStyle w:val="TOC2"/>
        <w:rPr>
          <w:rFonts w:eastAsiaTheme="minorEastAsia" w:cstheme="minorBidi"/>
          <w:noProof/>
          <w:sz w:val="22"/>
          <w:szCs w:val="22"/>
          <w:lang w:val="en-US"/>
        </w:rPr>
      </w:pPr>
      <w:hyperlink w:anchor="_Toc68855850" w:history="1">
        <w:r w:rsidRPr="00607DC4">
          <w:rPr>
            <w:rStyle w:val="Hyperlink"/>
            <w:noProof/>
          </w:rPr>
          <w:t>II.1.</w:t>
        </w:r>
        <w:r>
          <w:rPr>
            <w:rFonts w:eastAsiaTheme="minorEastAsia" w:cstheme="minorBidi"/>
            <w:noProof/>
            <w:sz w:val="22"/>
            <w:szCs w:val="22"/>
            <w:lang w:val="en-US"/>
          </w:rPr>
          <w:tab/>
        </w:r>
        <w:r w:rsidRPr="00607DC4">
          <w:rPr>
            <w:rStyle w:val="Hyperlink"/>
            <w:noProof/>
          </w:rPr>
          <w:t>Финансиране на разходите за управление на отпадъците в периода 2008-2013 г.</w:t>
        </w:r>
        <w:r>
          <w:rPr>
            <w:noProof/>
            <w:webHidden/>
          </w:rPr>
          <w:tab/>
        </w:r>
        <w:r>
          <w:rPr>
            <w:noProof/>
            <w:webHidden/>
          </w:rPr>
          <w:fldChar w:fldCharType="begin"/>
        </w:r>
        <w:r>
          <w:rPr>
            <w:noProof/>
            <w:webHidden/>
          </w:rPr>
          <w:instrText xml:space="preserve"> PAGEREF _Toc68855850 \h </w:instrText>
        </w:r>
        <w:r>
          <w:rPr>
            <w:noProof/>
            <w:webHidden/>
          </w:rPr>
        </w:r>
        <w:r>
          <w:rPr>
            <w:noProof/>
            <w:webHidden/>
          </w:rPr>
          <w:fldChar w:fldCharType="separate"/>
        </w:r>
        <w:r>
          <w:rPr>
            <w:noProof/>
            <w:webHidden/>
          </w:rPr>
          <w:t>395</w:t>
        </w:r>
        <w:r>
          <w:rPr>
            <w:noProof/>
            <w:webHidden/>
          </w:rPr>
          <w:fldChar w:fldCharType="end"/>
        </w:r>
      </w:hyperlink>
    </w:p>
    <w:p w:rsidR="00F912D8" w:rsidRDefault="00F912D8">
      <w:pPr>
        <w:pStyle w:val="TOC2"/>
        <w:rPr>
          <w:rFonts w:eastAsiaTheme="minorEastAsia" w:cstheme="minorBidi"/>
          <w:noProof/>
          <w:sz w:val="22"/>
          <w:szCs w:val="22"/>
          <w:lang w:val="en-US"/>
        </w:rPr>
      </w:pPr>
      <w:hyperlink w:anchor="_Toc68855851" w:history="1">
        <w:r w:rsidRPr="00607DC4">
          <w:rPr>
            <w:rStyle w:val="Hyperlink"/>
            <w:noProof/>
          </w:rPr>
          <w:t>II.2.</w:t>
        </w:r>
        <w:r>
          <w:rPr>
            <w:rFonts w:eastAsiaTheme="minorEastAsia" w:cstheme="minorBidi"/>
            <w:noProof/>
            <w:sz w:val="22"/>
            <w:szCs w:val="22"/>
            <w:lang w:val="en-US"/>
          </w:rPr>
          <w:tab/>
        </w:r>
        <w:r w:rsidRPr="00607DC4">
          <w:rPr>
            <w:rStyle w:val="Hyperlink"/>
            <w:noProof/>
          </w:rPr>
          <w:t>Финансиране на разходите за управление на отпадъците в периода 2014-2020 г.</w:t>
        </w:r>
        <w:r>
          <w:rPr>
            <w:noProof/>
            <w:webHidden/>
          </w:rPr>
          <w:tab/>
        </w:r>
        <w:r>
          <w:rPr>
            <w:noProof/>
            <w:webHidden/>
          </w:rPr>
          <w:fldChar w:fldCharType="begin"/>
        </w:r>
        <w:r>
          <w:rPr>
            <w:noProof/>
            <w:webHidden/>
          </w:rPr>
          <w:instrText xml:space="preserve"> PAGEREF _Toc68855851 \h </w:instrText>
        </w:r>
        <w:r>
          <w:rPr>
            <w:noProof/>
            <w:webHidden/>
          </w:rPr>
        </w:r>
        <w:r>
          <w:rPr>
            <w:noProof/>
            <w:webHidden/>
          </w:rPr>
          <w:fldChar w:fldCharType="separate"/>
        </w:r>
        <w:r>
          <w:rPr>
            <w:noProof/>
            <w:webHidden/>
          </w:rPr>
          <w:t>397</w:t>
        </w:r>
        <w:r>
          <w:rPr>
            <w:noProof/>
            <w:webHidden/>
          </w:rPr>
          <w:fldChar w:fldCharType="end"/>
        </w:r>
      </w:hyperlink>
    </w:p>
    <w:p w:rsidR="00F912D8" w:rsidRDefault="00F912D8">
      <w:pPr>
        <w:pStyle w:val="TOC3"/>
        <w:tabs>
          <w:tab w:val="left" w:pos="1320"/>
          <w:tab w:val="right" w:leader="dot" w:pos="9062"/>
        </w:tabs>
        <w:rPr>
          <w:rFonts w:eastAsiaTheme="minorEastAsia" w:cstheme="minorBidi"/>
          <w:noProof/>
          <w:sz w:val="22"/>
          <w:szCs w:val="22"/>
          <w:lang w:val="en-US"/>
        </w:rPr>
      </w:pPr>
      <w:hyperlink w:anchor="_Toc68855852" w:history="1">
        <w:r w:rsidRPr="00607DC4">
          <w:rPr>
            <w:rStyle w:val="Hyperlink"/>
            <w:noProof/>
          </w:rPr>
          <w:t>II.2.1.</w:t>
        </w:r>
        <w:r>
          <w:rPr>
            <w:rFonts w:eastAsiaTheme="minorEastAsia" w:cstheme="minorBidi"/>
            <w:noProof/>
            <w:sz w:val="22"/>
            <w:szCs w:val="22"/>
            <w:lang w:val="en-US"/>
          </w:rPr>
          <w:tab/>
        </w:r>
        <w:r w:rsidRPr="00607DC4">
          <w:rPr>
            <w:rStyle w:val="Hyperlink"/>
            <w:noProof/>
          </w:rPr>
          <w:t>Финансиране от Оперативна програма „Околна среда“</w:t>
        </w:r>
        <w:r>
          <w:rPr>
            <w:noProof/>
            <w:webHidden/>
          </w:rPr>
          <w:tab/>
        </w:r>
        <w:r>
          <w:rPr>
            <w:noProof/>
            <w:webHidden/>
          </w:rPr>
          <w:fldChar w:fldCharType="begin"/>
        </w:r>
        <w:r>
          <w:rPr>
            <w:noProof/>
            <w:webHidden/>
          </w:rPr>
          <w:instrText xml:space="preserve"> PAGEREF _Toc68855852 \h </w:instrText>
        </w:r>
        <w:r>
          <w:rPr>
            <w:noProof/>
            <w:webHidden/>
          </w:rPr>
        </w:r>
        <w:r>
          <w:rPr>
            <w:noProof/>
            <w:webHidden/>
          </w:rPr>
          <w:fldChar w:fldCharType="separate"/>
        </w:r>
        <w:r>
          <w:rPr>
            <w:noProof/>
            <w:webHidden/>
          </w:rPr>
          <w:t>397</w:t>
        </w:r>
        <w:r>
          <w:rPr>
            <w:noProof/>
            <w:webHidden/>
          </w:rPr>
          <w:fldChar w:fldCharType="end"/>
        </w:r>
      </w:hyperlink>
    </w:p>
    <w:p w:rsidR="00F912D8" w:rsidRDefault="00F912D8">
      <w:pPr>
        <w:pStyle w:val="TOC3"/>
        <w:tabs>
          <w:tab w:val="left" w:pos="1320"/>
          <w:tab w:val="right" w:leader="dot" w:pos="9062"/>
        </w:tabs>
        <w:rPr>
          <w:rFonts w:eastAsiaTheme="minorEastAsia" w:cstheme="minorBidi"/>
          <w:noProof/>
          <w:sz w:val="22"/>
          <w:szCs w:val="22"/>
          <w:lang w:val="en-US"/>
        </w:rPr>
      </w:pPr>
      <w:hyperlink w:anchor="_Toc68855853" w:history="1">
        <w:r w:rsidRPr="00607DC4">
          <w:rPr>
            <w:rStyle w:val="Hyperlink"/>
            <w:noProof/>
          </w:rPr>
          <w:t>II.2.2.</w:t>
        </w:r>
        <w:r>
          <w:rPr>
            <w:rFonts w:eastAsiaTheme="minorEastAsia" w:cstheme="minorBidi"/>
            <w:noProof/>
            <w:sz w:val="22"/>
            <w:szCs w:val="22"/>
            <w:lang w:val="en-US"/>
          </w:rPr>
          <w:tab/>
        </w:r>
        <w:r w:rsidRPr="00607DC4">
          <w:rPr>
            <w:rStyle w:val="Hyperlink"/>
            <w:noProof/>
          </w:rPr>
          <w:t>Финансиране от общинските бюджети</w:t>
        </w:r>
        <w:r>
          <w:rPr>
            <w:noProof/>
            <w:webHidden/>
          </w:rPr>
          <w:tab/>
        </w:r>
        <w:r>
          <w:rPr>
            <w:noProof/>
            <w:webHidden/>
          </w:rPr>
          <w:fldChar w:fldCharType="begin"/>
        </w:r>
        <w:r>
          <w:rPr>
            <w:noProof/>
            <w:webHidden/>
          </w:rPr>
          <w:instrText xml:space="preserve"> PAGEREF _Toc68855853 \h </w:instrText>
        </w:r>
        <w:r>
          <w:rPr>
            <w:noProof/>
            <w:webHidden/>
          </w:rPr>
        </w:r>
        <w:r>
          <w:rPr>
            <w:noProof/>
            <w:webHidden/>
          </w:rPr>
          <w:fldChar w:fldCharType="separate"/>
        </w:r>
        <w:r>
          <w:rPr>
            <w:noProof/>
            <w:webHidden/>
          </w:rPr>
          <w:t>401</w:t>
        </w:r>
        <w:r>
          <w:rPr>
            <w:noProof/>
            <w:webHidden/>
          </w:rPr>
          <w:fldChar w:fldCharType="end"/>
        </w:r>
      </w:hyperlink>
    </w:p>
    <w:p w:rsidR="00F912D8" w:rsidRDefault="00F912D8">
      <w:pPr>
        <w:pStyle w:val="TOC3"/>
        <w:tabs>
          <w:tab w:val="left" w:pos="1320"/>
          <w:tab w:val="right" w:leader="dot" w:pos="9062"/>
        </w:tabs>
        <w:rPr>
          <w:rFonts w:eastAsiaTheme="minorEastAsia" w:cstheme="minorBidi"/>
          <w:noProof/>
          <w:sz w:val="22"/>
          <w:szCs w:val="22"/>
          <w:lang w:val="en-US"/>
        </w:rPr>
      </w:pPr>
      <w:hyperlink w:anchor="_Toc68855854" w:history="1">
        <w:r w:rsidRPr="00607DC4">
          <w:rPr>
            <w:rStyle w:val="Hyperlink"/>
            <w:noProof/>
          </w:rPr>
          <w:t>II.2.3.</w:t>
        </w:r>
        <w:r>
          <w:rPr>
            <w:rFonts w:eastAsiaTheme="minorEastAsia" w:cstheme="minorBidi"/>
            <w:noProof/>
            <w:sz w:val="22"/>
            <w:szCs w:val="22"/>
            <w:lang w:val="en-US"/>
          </w:rPr>
          <w:tab/>
        </w:r>
        <w:r w:rsidRPr="00607DC4">
          <w:rPr>
            <w:rStyle w:val="Hyperlink"/>
            <w:noProof/>
          </w:rPr>
          <w:t>Финансиране от ПУДООС</w:t>
        </w:r>
        <w:r>
          <w:rPr>
            <w:noProof/>
            <w:webHidden/>
          </w:rPr>
          <w:tab/>
        </w:r>
        <w:r>
          <w:rPr>
            <w:noProof/>
            <w:webHidden/>
          </w:rPr>
          <w:fldChar w:fldCharType="begin"/>
        </w:r>
        <w:r>
          <w:rPr>
            <w:noProof/>
            <w:webHidden/>
          </w:rPr>
          <w:instrText xml:space="preserve"> PAGEREF _Toc68855854 \h </w:instrText>
        </w:r>
        <w:r>
          <w:rPr>
            <w:noProof/>
            <w:webHidden/>
          </w:rPr>
        </w:r>
        <w:r>
          <w:rPr>
            <w:noProof/>
            <w:webHidden/>
          </w:rPr>
          <w:fldChar w:fldCharType="separate"/>
        </w:r>
        <w:r>
          <w:rPr>
            <w:noProof/>
            <w:webHidden/>
          </w:rPr>
          <w:t>406</w:t>
        </w:r>
        <w:r>
          <w:rPr>
            <w:noProof/>
            <w:webHidden/>
          </w:rPr>
          <w:fldChar w:fldCharType="end"/>
        </w:r>
      </w:hyperlink>
    </w:p>
    <w:p w:rsidR="00F912D8" w:rsidRDefault="00F912D8">
      <w:pPr>
        <w:pStyle w:val="TOC3"/>
        <w:tabs>
          <w:tab w:val="left" w:pos="1320"/>
          <w:tab w:val="right" w:leader="dot" w:pos="9062"/>
        </w:tabs>
        <w:rPr>
          <w:rFonts w:eastAsiaTheme="minorEastAsia" w:cstheme="minorBidi"/>
          <w:noProof/>
          <w:sz w:val="22"/>
          <w:szCs w:val="22"/>
          <w:lang w:val="en-US"/>
        </w:rPr>
      </w:pPr>
      <w:hyperlink w:anchor="_Toc68855855" w:history="1">
        <w:r w:rsidRPr="00607DC4">
          <w:rPr>
            <w:rStyle w:val="Hyperlink"/>
            <w:noProof/>
          </w:rPr>
          <w:t>II.2.4.</w:t>
        </w:r>
        <w:r>
          <w:rPr>
            <w:rFonts w:eastAsiaTheme="minorEastAsia" w:cstheme="minorBidi"/>
            <w:noProof/>
            <w:sz w:val="22"/>
            <w:szCs w:val="22"/>
            <w:lang w:val="en-US"/>
          </w:rPr>
          <w:tab/>
        </w:r>
        <w:r w:rsidRPr="00607DC4">
          <w:rPr>
            <w:rStyle w:val="Hyperlink"/>
            <w:noProof/>
          </w:rPr>
          <w:t>Възможности за финансиране на изграждането и експлоатацията на инфраструктура за управление на отпадъците</w:t>
        </w:r>
        <w:r>
          <w:rPr>
            <w:noProof/>
            <w:webHidden/>
          </w:rPr>
          <w:tab/>
        </w:r>
        <w:r>
          <w:rPr>
            <w:noProof/>
            <w:webHidden/>
          </w:rPr>
          <w:fldChar w:fldCharType="begin"/>
        </w:r>
        <w:r>
          <w:rPr>
            <w:noProof/>
            <w:webHidden/>
          </w:rPr>
          <w:instrText xml:space="preserve"> PAGEREF _Toc68855855 \h </w:instrText>
        </w:r>
        <w:r>
          <w:rPr>
            <w:noProof/>
            <w:webHidden/>
          </w:rPr>
        </w:r>
        <w:r>
          <w:rPr>
            <w:noProof/>
            <w:webHidden/>
          </w:rPr>
          <w:fldChar w:fldCharType="separate"/>
        </w:r>
        <w:r>
          <w:rPr>
            <w:noProof/>
            <w:webHidden/>
          </w:rPr>
          <w:t>407</w:t>
        </w:r>
        <w:r>
          <w:rPr>
            <w:noProof/>
            <w:webHidden/>
          </w:rPr>
          <w:fldChar w:fldCharType="end"/>
        </w:r>
      </w:hyperlink>
    </w:p>
    <w:p w:rsidR="001C0F3B" w:rsidRDefault="00680D95" w:rsidP="00935E3C">
      <w:pPr>
        <w:rPr>
          <w:b/>
          <w:caps/>
        </w:rPr>
      </w:pPr>
      <w:r>
        <w:rPr>
          <w:rFonts w:eastAsia="Times New Roman" w:cs="Arial"/>
          <w:caps/>
          <w:noProof/>
          <w:szCs w:val="24"/>
        </w:rPr>
        <w:fldChar w:fldCharType="end"/>
      </w:r>
    </w:p>
    <w:p w:rsidR="00935E3C" w:rsidRDefault="00935E3C" w:rsidP="00595644">
      <w:pPr>
        <w:rPr>
          <w:b/>
          <w:caps/>
        </w:rPr>
      </w:pPr>
    </w:p>
    <w:p w:rsidR="00935E3C" w:rsidRDefault="00935E3C" w:rsidP="00595644">
      <w:pPr>
        <w:rPr>
          <w:b/>
          <w:caps/>
        </w:rPr>
      </w:pPr>
    </w:p>
    <w:p w:rsidR="00430838" w:rsidRDefault="00430838">
      <w:pPr>
        <w:spacing w:after="0"/>
        <w:jc w:val="left"/>
        <w:rPr>
          <w:b/>
          <w:sz w:val="28"/>
          <w:szCs w:val="28"/>
        </w:rPr>
      </w:pPr>
      <w:r>
        <w:rPr>
          <w:b/>
          <w:sz w:val="28"/>
          <w:szCs w:val="28"/>
        </w:rPr>
        <w:br w:type="page"/>
      </w:r>
    </w:p>
    <w:p w:rsidR="00595644" w:rsidRPr="00714C85" w:rsidRDefault="00595644" w:rsidP="00714C85">
      <w:pPr>
        <w:jc w:val="center"/>
        <w:rPr>
          <w:b/>
          <w:sz w:val="28"/>
          <w:szCs w:val="28"/>
        </w:rPr>
      </w:pPr>
      <w:r w:rsidRPr="00714C85">
        <w:rPr>
          <w:b/>
          <w:sz w:val="28"/>
          <w:szCs w:val="28"/>
        </w:rPr>
        <w:lastRenderedPageBreak/>
        <w:t>Списък на таблиците</w:t>
      </w:r>
      <w:r w:rsidR="00475523">
        <w:rPr>
          <w:b/>
          <w:sz w:val="28"/>
          <w:szCs w:val="28"/>
        </w:rPr>
        <w:t xml:space="preserve"> и фигурите</w:t>
      </w:r>
    </w:p>
    <w:p w:rsidR="00595644" w:rsidRDefault="00595644" w:rsidP="00595644"/>
    <w:p w:rsidR="00475523" w:rsidRDefault="00475523" w:rsidP="00430838">
      <w:pPr>
        <w:pStyle w:val="TableofFigures"/>
        <w:tabs>
          <w:tab w:val="right" w:leader="dot" w:pos="9062"/>
        </w:tabs>
        <w:spacing w:after="120"/>
        <w:rPr>
          <w:rFonts w:eastAsiaTheme="minorEastAsia" w:cstheme="minorBidi"/>
          <w:noProof/>
          <w:sz w:val="22"/>
          <w:lang w:val="en-GB" w:eastAsia="en-GB"/>
        </w:rPr>
      </w:pPr>
      <w:r>
        <w:fldChar w:fldCharType="begin"/>
      </w:r>
      <w:r>
        <w:instrText xml:space="preserve"> TOC \h \z \c "Таблица" </w:instrText>
      </w:r>
      <w:r>
        <w:fldChar w:fldCharType="separate"/>
      </w:r>
      <w:hyperlink w:anchor="_Toc45719025" w:history="1">
        <w:r w:rsidRPr="00C508CE">
          <w:rPr>
            <w:rStyle w:val="Hyperlink"/>
            <w:noProof/>
          </w:rPr>
          <w:t>Таблица 1. Разходи за управление на отпадъците в контекста на разходите за опазване на околната среда в България за периода 2008-2013 г.</w:t>
        </w:r>
        <w:r>
          <w:rPr>
            <w:noProof/>
            <w:webHidden/>
          </w:rPr>
          <w:tab/>
        </w:r>
        <w:r>
          <w:rPr>
            <w:noProof/>
            <w:webHidden/>
          </w:rPr>
          <w:fldChar w:fldCharType="begin"/>
        </w:r>
        <w:r>
          <w:rPr>
            <w:noProof/>
            <w:webHidden/>
          </w:rPr>
          <w:instrText xml:space="preserve"> PAGEREF _Toc45719025 \h </w:instrText>
        </w:r>
        <w:r>
          <w:rPr>
            <w:noProof/>
            <w:webHidden/>
          </w:rPr>
        </w:r>
        <w:r>
          <w:rPr>
            <w:noProof/>
            <w:webHidden/>
          </w:rPr>
          <w:fldChar w:fldCharType="separate"/>
        </w:r>
        <w:r w:rsidR="00F912D8">
          <w:rPr>
            <w:noProof/>
            <w:webHidden/>
          </w:rPr>
          <w:t>391</w:t>
        </w:r>
        <w:r>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26" w:history="1">
        <w:r w:rsidR="00475523" w:rsidRPr="00C508CE">
          <w:rPr>
            <w:rStyle w:val="Hyperlink"/>
            <w:noProof/>
          </w:rPr>
          <w:t>Таблица 2. Разходи за управление на отпадъците в контекста на разходите за опазване на околната среда в България за периода 2014-2018 г.</w:t>
        </w:r>
        <w:r w:rsidR="00475523">
          <w:rPr>
            <w:noProof/>
            <w:webHidden/>
          </w:rPr>
          <w:tab/>
        </w:r>
        <w:r w:rsidR="00475523">
          <w:rPr>
            <w:noProof/>
            <w:webHidden/>
          </w:rPr>
          <w:fldChar w:fldCharType="begin"/>
        </w:r>
        <w:r w:rsidR="00475523">
          <w:rPr>
            <w:noProof/>
            <w:webHidden/>
          </w:rPr>
          <w:instrText xml:space="preserve"> PAGEREF _Toc45719026 \h </w:instrText>
        </w:r>
        <w:r w:rsidR="00475523">
          <w:rPr>
            <w:noProof/>
            <w:webHidden/>
          </w:rPr>
        </w:r>
        <w:r w:rsidR="00475523">
          <w:rPr>
            <w:noProof/>
            <w:webHidden/>
          </w:rPr>
          <w:fldChar w:fldCharType="separate"/>
        </w:r>
        <w:r>
          <w:rPr>
            <w:noProof/>
            <w:webHidden/>
          </w:rPr>
          <w:t>392</w:t>
        </w:r>
        <w:r w:rsidR="00475523">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27" w:history="1">
        <w:r w:rsidR="00475523" w:rsidRPr="00C508CE">
          <w:rPr>
            <w:rStyle w:val="Hyperlink"/>
            <w:noProof/>
          </w:rPr>
          <w:t>Таблица 3. Разходи за услуги, свързани с околната среда  в България за периода 2014-2018 г. (хил.лв.)</w:t>
        </w:r>
        <w:r w:rsidR="00475523">
          <w:rPr>
            <w:noProof/>
            <w:webHidden/>
          </w:rPr>
          <w:tab/>
        </w:r>
        <w:r w:rsidR="00475523">
          <w:rPr>
            <w:noProof/>
            <w:webHidden/>
          </w:rPr>
          <w:fldChar w:fldCharType="begin"/>
        </w:r>
        <w:r w:rsidR="00475523">
          <w:rPr>
            <w:noProof/>
            <w:webHidden/>
          </w:rPr>
          <w:instrText xml:space="preserve"> PAGEREF _Toc45719027 \h </w:instrText>
        </w:r>
        <w:r w:rsidR="00475523">
          <w:rPr>
            <w:noProof/>
            <w:webHidden/>
          </w:rPr>
        </w:r>
        <w:r w:rsidR="00475523">
          <w:rPr>
            <w:noProof/>
            <w:webHidden/>
          </w:rPr>
          <w:fldChar w:fldCharType="separate"/>
        </w:r>
        <w:r>
          <w:rPr>
            <w:noProof/>
            <w:webHidden/>
          </w:rPr>
          <w:t>393</w:t>
        </w:r>
        <w:r w:rsidR="00475523">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28" w:history="1">
        <w:r w:rsidR="00475523" w:rsidRPr="00C508CE">
          <w:rPr>
            <w:rStyle w:val="Hyperlink"/>
            <w:noProof/>
          </w:rPr>
          <w:t>Таблица 4. Разходи за управление на отпадъците по икономически дейности в България за периода 2009-2018 г.</w:t>
        </w:r>
        <w:r w:rsidR="00475523">
          <w:rPr>
            <w:noProof/>
            <w:webHidden/>
          </w:rPr>
          <w:tab/>
        </w:r>
        <w:r w:rsidR="00475523">
          <w:rPr>
            <w:noProof/>
            <w:webHidden/>
          </w:rPr>
          <w:fldChar w:fldCharType="begin"/>
        </w:r>
        <w:r w:rsidR="00475523">
          <w:rPr>
            <w:noProof/>
            <w:webHidden/>
          </w:rPr>
          <w:instrText xml:space="preserve"> PAGEREF _Toc45719028 \h </w:instrText>
        </w:r>
        <w:r w:rsidR="00475523">
          <w:rPr>
            <w:noProof/>
            <w:webHidden/>
          </w:rPr>
        </w:r>
        <w:r w:rsidR="00475523">
          <w:rPr>
            <w:noProof/>
            <w:webHidden/>
          </w:rPr>
          <w:fldChar w:fldCharType="separate"/>
        </w:r>
        <w:r>
          <w:rPr>
            <w:noProof/>
            <w:webHidden/>
          </w:rPr>
          <w:t>394</w:t>
        </w:r>
        <w:r w:rsidR="00475523">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29" w:history="1">
        <w:r w:rsidR="00475523" w:rsidRPr="00C508CE">
          <w:rPr>
            <w:rStyle w:val="Hyperlink"/>
            <w:noProof/>
          </w:rPr>
          <w:t>Таблица 5. Финансиране на инфраструктура за управление на отпадъците по ОПОС 2007-2013 г.</w:t>
        </w:r>
        <w:r w:rsidR="00475523">
          <w:rPr>
            <w:noProof/>
            <w:webHidden/>
          </w:rPr>
          <w:tab/>
        </w:r>
        <w:r w:rsidR="00475523">
          <w:rPr>
            <w:noProof/>
            <w:webHidden/>
          </w:rPr>
          <w:fldChar w:fldCharType="begin"/>
        </w:r>
        <w:r w:rsidR="00475523">
          <w:rPr>
            <w:noProof/>
            <w:webHidden/>
          </w:rPr>
          <w:instrText xml:space="preserve"> PAGEREF _Toc45719029 \h </w:instrText>
        </w:r>
        <w:r w:rsidR="00475523">
          <w:rPr>
            <w:noProof/>
            <w:webHidden/>
          </w:rPr>
        </w:r>
        <w:r w:rsidR="00475523">
          <w:rPr>
            <w:noProof/>
            <w:webHidden/>
          </w:rPr>
          <w:fldChar w:fldCharType="separate"/>
        </w:r>
        <w:r>
          <w:rPr>
            <w:noProof/>
            <w:webHidden/>
          </w:rPr>
          <w:t>398</w:t>
        </w:r>
        <w:r w:rsidR="00475523">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30" w:history="1">
        <w:r w:rsidR="00475523" w:rsidRPr="00C508CE">
          <w:rPr>
            <w:rStyle w:val="Hyperlink"/>
            <w:noProof/>
          </w:rPr>
          <w:t>Таблица 6. Финансиране на инфраструктура за управление на отпадъците по ОПОС 2014-2020 г.</w:t>
        </w:r>
        <w:r w:rsidR="00475523">
          <w:rPr>
            <w:noProof/>
            <w:webHidden/>
          </w:rPr>
          <w:tab/>
        </w:r>
        <w:r w:rsidR="00475523">
          <w:rPr>
            <w:noProof/>
            <w:webHidden/>
          </w:rPr>
          <w:fldChar w:fldCharType="begin"/>
        </w:r>
        <w:r w:rsidR="00475523">
          <w:rPr>
            <w:noProof/>
            <w:webHidden/>
          </w:rPr>
          <w:instrText xml:space="preserve"> PAGEREF _Toc45719030 \h </w:instrText>
        </w:r>
        <w:r w:rsidR="00475523">
          <w:rPr>
            <w:noProof/>
            <w:webHidden/>
          </w:rPr>
        </w:r>
        <w:r w:rsidR="00475523">
          <w:rPr>
            <w:noProof/>
            <w:webHidden/>
          </w:rPr>
          <w:fldChar w:fldCharType="separate"/>
        </w:r>
        <w:r>
          <w:rPr>
            <w:noProof/>
            <w:webHidden/>
          </w:rPr>
          <w:t>399</w:t>
        </w:r>
        <w:r w:rsidR="00475523">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31" w:history="1">
        <w:r w:rsidR="00475523" w:rsidRPr="00C508CE">
          <w:rPr>
            <w:rStyle w:val="Hyperlink"/>
            <w:noProof/>
          </w:rPr>
          <w:t>Таблица 7. Разходи на 1 тон капацитет на инсталациите за третиране на отпадъци</w:t>
        </w:r>
        <w:r w:rsidR="00475523">
          <w:rPr>
            <w:noProof/>
            <w:webHidden/>
          </w:rPr>
          <w:tab/>
        </w:r>
        <w:r w:rsidR="00475523">
          <w:rPr>
            <w:noProof/>
            <w:webHidden/>
          </w:rPr>
          <w:fldChar w:fldCharType="begin"/>
        </w:r>
        <w:r w:rsidR="00475523">
          <w:rPr>
            <w:noProof/>
            <w:webHidden/>
          </w:rPr>
          <w:instrText xml:space="preserve"> PAGEREF _Toc45719031 \h </w:instrText>
        </w:r>
        <w:r w:rsidR="00475523">
          <w:rPr>
            <w:noProof/>
            <w:webHidden/>
          </w:rPr>
        </w:r>
        <w:r w:rsidR="00475523">
          <w:rPr>
            <w:noProof/>
            <w:webHidden/>
          </w:rPr>
          <w:fldChar w:fldCharType="separate"/>
        </w:r>
        <w:r>
          <w:rPr>
            <w:noProof/>
            <w:webHidden/>
          </w:rPr>
          <w:t>400</w:t>
        </w:r>
        <w:r w:rsidR="00475523">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32" w:history="1">
        <w:r w:rsidR="00475523" w:rsidRPr="00C508CE">
          <w:rPr>
            <w:rStyle w:val="Hyperlink"/>
            <w:noProof/>
          </w:rPr>
          <w:t>Таблица 8. Разходи за управление на отпадъците, финансирани от общините</w:t>
        </w:r>
        <w:r w:rsidR="00475523">
          <w:rPr>
            <w:noProof/>
            <w:webHidden/>
          </w:rPr>
          <w:tab/>
        </w:r>
        <w:r w:rsidR="00475523">
          <w:rPr>
            <w:noProof/>
            <w:webHidden/>
          </w:rPr>
          <w:fldChar w:fldCharType="begin"/>
        </w:r>
        <w:r w:rsidR="00475523">
          <w:rPr>
            <w:noProof/>
            <w:webHidden/>
          </w:rPr>
          <w:instrText xml:space="preserve"> PAGEREF _Toc45719032 \h </w:instrText>
        </w:r>
        <w:r w:rsidR="00475523">
          <w:rPr>
            <w:noProof/>
            <w:webHidden/>
          </w:rPr>
        </w:r>
        <w:r w:rsidR="00475523">
          <w:rPr>
            <w:noProof/>
            <w:webHidden/>
          </w:rPr>
          <w:fldChar w:fldCharType="separate"/>
        </w:r>
        <w:r>
          <w:rPr>
            <w:noProof/>
            <w:webHidden/>
          </w:rPr>
          <w:t>402</w:t>
        </w:r>
        <w:r w:rsidR="00475523">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33" w:history="1">
        <w:r w:rsidR="00475523" w:rsidRPr="00C508CE">
          <w:rPr>
            <w:rStyle w:val="Hyperlink"/>
            <w:noProof/>
          </w:rPr>
          <w:t>Таблица 9. Междуобщински различия в разходите за управление на отпадъците през 2018 г.</w:t>
        </w:r>
        <w:r w:rsidR="00475523">
          <w:rPr>
            <w:noProof/>
            <w:webHidden/>
          </w:rPr>
          <w:tab/>
        </w:r>
        <w:r w:rsidR="00475523">
          <w:rPr>
            <w:noProof/>
            <w:webHidden/>
          </w:rPr>
          <w:fldChar w:fldCharType="begin"/>
        </w:r>
        <w:r w:rsidR="00475523">
          <w:rPr>
            <w:noProof/>
            <w:webHidden/>
          </w:rPr>
          <w:instrText xml:space="preserve"> PAGEREF _Toc45719033 \h </w:instrText>
        </w:r>
        <w:r w:rsidR="00475523">
          <w:rPr>
            <w:noProof/>
            <w:webHidden/>
          </w:rPr>
        </w:r>
        <w:r w:rsidR="00475523">
          <w:rPr>
            <w:noProof/>
            <w:webHidden/>
          </w:rPr>
          <w:fldChar w:fldCharType="separate"/>
        </w:r>
        <w:r>
          <w:rPr>
            <w:noProof/>
            <w:webHidden/>
          </w:rPr>
          <w:t>403</w:t>
        </w:r>
        <w:r w:rsidR="00475523">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34" w:history="1">
        <w:r w:rsidR="00475523" w:rsidRPr="00C508CE">
          <w:rPr>
            <w:rStyle w:val="Hyperlink"/>
            <w:noProof/>
          </w:rPr>
          <w:t>Таблица 10. Изразходвани средства за безвъзмездна помощ от ПУДООС по политики на околната среда (лв.)</w:t>
        </w:r>
        <w:r w:rsidR="00475523">
          <w:rPr>
            <w:noProof/>
            <w:webHidden/>
          </w:rPr>
          <w:tab/>
        </w:r>
        <w:r w:rsidR="00475523">
          <w:rPr>
            <w:noProof/>
            <w:webHidden/>
          </w:rPr>
          <w:fldChar w:fldCharType="begin"/>
        </w:r>
        <w:r w:rsidR="00475523">
          <w:rPr>
            <w:noProof/>
            <w:webHidden/>
          </w:rPr>
          <w:instrText xml:space="preserve"> PAGEREF _Toc45719034 \h </w:instrText>
        </w:r>
        <w:r w:rsidR="00475523">
          <w:rPr>
            <w:noProof/>
            <w:webHidden/>
          </w:rPr>
        </w:r>
        <w:r w:rsidR="00475523">
          <w:rPr>
            <w:noProof/>
            <w:webHidden/>
          </w:rPr>
          <w:fldChar w:fldCharType="separate"/>
        </w:r>
        <w:r>
          <w:rPr>
            <w:noProof/>
            <w:webHidden/>
          </w:rPr>
          <w:t>406</w:t>
        </w:r>
        <w:r w:rsidR="00475523">
          <w:rPr>
            <w:noProof/>
            <w:webHidden/>
          </w:rPr>
          <w:fldChar w:fldCharType="end"/>
        </w:r>
      </w:hyperlink>
    </w:p>
    <w:p w:rsidR="00595644" w:rsidRDefault="00475523" w:rsidP="00430838">
      <w:r>
        <w:fldChar w:fldCharType="end"/>
      </w:r>
    </w:p>
    <w:p w:rsidR="00475523" w:rsidRDefault="00475523" w:rsidP="00430838">
      <w:pPr>
        <w:pStyle w:val="TableofFigures"/>
        <w:tabs>
          <w:tab w:val="right" w:leader="dot" w:pos="9062"/>
        </w:tabs>
        <w:spacing w:after="120"/>
        <w:rPr>
          <w:rFonts w:eastAsiaTheme="minorEastAsia" w:cstheme="minorBidi"/>
          <w:noProof/>
          <w:sz w:val="22"/>
          <w:lang w:val="en-GB" w:eastAsia="en-GB"/>
        </w:rPr>
      </w:pPr>
      <w:r>
        <w:rPr>
          <w:b/>
          <w:sz w:val="32"/>
          <w:szCs w:val="32"/>
          <w:lang w:val="en-US"/>
        </w:rPr>
        <w:fldChar w:fldCharType="begin"/>
      </w:r>
      <w:r>
        <w:rPr>
          <w:b/>
          <w:sz w:val="32"/>
          <w:szCs w:val="32"/>
          <w:lang w:val="en-US"/>
        </w:rPr>
        <w:instrText xml:space="preserve"> TOC \h \z \c "Фигура" </w:instrText>
      </w:r>
      <w:r>
        <w:rPr>
          <w:b/>
          <w:sz w:val="32"/>
          <w:szCs w:val="32"/>
          <w:lang w:val="en-US"/>
        </w:rPr>
        <w:fldChar w:fldCharType="separate"/>
      </w:r>
      <w:hyperlink w:anchor="_Toc45719049" w:history="1">
        <w:r w:rsidRPr="000673B0">
          <w:rPr>
            <w:rStyle w:val="Hyperlink"/>
            <w:noProof/>
          </w:rPr>
          <w:t>Фигура 1. Структура на източниците на финансиране на оперативните разходи в управлението на отпадъците в периода 2009-2013 г.</w:t>
        </w:r>
        <w:r>
          <w:rPr>
            <w:noProof/>
            <w:webHidden/>
          </w:rPr>
          <w:tab/>
        </w:r>
        <w:r>
          <w:rPr>
            <w:noProof/>
            <w:webHidden/>
          </w:rPr>
          <w:fldChar w:fldCharType="begin"/>
        </w:r>
        <w:r>
          <w:rPr>
            <w:noProof/>
            <w:webHidden/>
          </w:rPr>
          <w:instrText xml:space="preserve"> PAGEREF _Toc45719049 \h </w:instrText>
        </w:r>
        <w:r>
          <w:rPr>
            <w:noProof/>
            <w:webHidden/>
          </w:rPr>
        </w:r>
        <w:r>
          <w:rPr>
            <w:noProof/>
            <w:webHidden/>
          </w:rPr>
          <w:fldChar w:fldCharType="separate"/>
        </w:r>
        <w:r w:rsidR="00F912D8">
          <w:rPr>
            <w:noProof/>
            <w:webHidden/>
          </w:rPr>
          <w:t>395</w:t>
        </w:r>
        <w:r>
          <w:rPr>
            <w:noProof/>
            <w:webHidden/>
          </w:rPr>
          <w:fldChar w:fldCharType="end"/>
        </w:r>
      </w:hyperlink>
    </w:p>
    <w:p w:rsidR="00475523" w:rsidRDefault="00F912D8" w:rsidP="00430838">
      <w:pPr>
        <w:pStyle w:val="TableofFigures"/>
        <w:tabs>
          <w:tab w:val="right" w:leader="dot" w:pos="9062"/>
        </w:tabs>
        <w:spacing w:after="120"/>
        <w:rPr>
          <w:rFonts w:eastAsiaTheme="minorEastAsia" w:cstheme="minorBidi"/>
          <w:noProof/>
          <w:sz w:val="22"/>
          <w:lang w:val="en-GB" w:eastAsia="en-GB"/>
        </w:rPr>
      </w:pPr>
      <w:hyperlink w:anchor="_Toc45719050" w:history="1">
        <w:r w:rsidR="00475523" w:rsidRPr="000673B0">
          <w:rPr>
            <w:rStyle w:val="Hyperlink"/>
            <w:noProof/>
          </w:rPr>
          <w:t>Фигура 2. Структура на изт</w:t>
        </w:r>
        <w:bookmarkStart w:id="4" w:name="_GoBack"/>
        <w:bookmarkEnd w:id="4"/>
        <w:r w:rsidR="00475523" w:rsidRPr="000673B0">
          <w:rPr>
            <w:rStyle w:val="Hyperlink"/>
            <w:noProof/>
          </w:rPr>
          <w:t>очниците на финансиране на инвестиционните разходи в управлението на отпадъците в периода 2008-2013 г.</w:t>
        </w:r>
        <w:r w:rsidR="00475523">
          <w:rPr>
            <w:noProof/>
            <w:webHidden/>
          </w:rPr>
          <w:tab/>
        </w:r>
        <w:r w:rsidR="00475523">
          <w:rPr>
            <w:noProof/>
            <w:webHidden/>
          </w:rPr>
          <w:fldChar w:fldCharType="begin"/>
        </w:r>
        <w:r w:rsidR="00475523">
          <w:rPr>
            <w:noProof/>
            <w:webHidden/>
          </w:rPr>
          <w:instrText xml:space="preserve"> PAGEREF _Toc45719050 \h </w:instrText>
        </w:r>
        <w:r w:rsidR="00475523">
          <w:rPr>
            <w:noProof/>
            <w:webHidden/>
          </w:rPr>
        </w:r>
        <w:r w:rsidR="00475523">
          <w:rPr>
            <w:noProof/>
            <w:webHidden/>
          </w:rPr>
          <w:fldChar w:fldCharType="separate"/>
        </w:r>
        <w:r>
          <w:rPr>
            <w:noProof/>
            <w:webHidden/>
          </w:rPr>
          <w:t>396</w:t>
        </w:r>
        <w:r w:rsidR="00475523">
          <w:rPr>
            <w:noProof/>
            <w:webHidden/>
          </w:rPr>
          <w:fldChar w:fldCharType="end"/>
        </w:r>
      </w:hyperlink>
    </w:p>
    <w:p w:rsidR="00595644" w:rsidRDefault="00475523" w:rsidP="00430838">
      <w:pPr>
        <w:jc w:val="left"/>
        <w:rPr>
          <w:b/>
          <w:sz w:val="32"/>
          <w:szCs w:val="32"/>
          <w:lang w:val="en-US"/>
        </w:rPr>
      </w:pPr>
      <w:r>
        <w:rPr>
          <w:b/>
          <w:sz w:val="32"/>
          <w:szCs w:val="32"/>
          <w:lang w:val="en-US"/>
        </w:rPr>
        <w:fldChar w:fldCharType="end"/>
      </w:r>
    </w:p>
    <w:p w:rsidR="00595644" w:rsidRPr="002E0588" w:rsidRDefault="00595644" w:rsidP="00595644">
      <w:pPr>
        <w:spacing w:after="0"/>
        <w:rPr>
          <w:b/>
        </w:rPr>
      </w:pPr>
    </w:p>
    <w:p w:rsidR="00595644" w:rsidRDefault="00595644" w:rsidP="00595644"/>
    <w:p w:rsidR="00344590" w:rsidRDefault="00344590">
      <w:pPr>
        <w:spacing w:after="0"/>
        <w:jc w:val="left"/>
        <w:rPr>
          <w:rFonts w:cs="Arial"/>
          <w:bCs/>
          <w:iCs/>
          <w:szCs w:val="24"/>
          <w:lang w:eastAsia="bg-BG"/>
        </w:rPr>
      </w:pPr>
      <w:r>
        <w:rPr>
          <w:rFonts w:cs="Arial"/>
          <w:bCs/>
          <w:iCs/>
          <w:szCs w:val="24"/>
          <w:lang w:eastAsia="bg-BG"/>
        </w:rPr>
        <w:br w:type="page"/>
      </w:r>
    </w:p>
    <w:p w:rsidR="0006204E" w:rsidRPr="0006204E" w:rsidRDefault="0006204E" w:rsidP="0006204E">
      <w:pPr>
        <w:rPr>
          <w:rFonts w:cs="Arial"/>
          <w:bCs/>
          <w:iCs/>
          <w:szCs w:val="24"/>
          <w:lang w:eastAsia="bg-BG"/>
        </w:rPr>
      </w:pPr>
      <w:r w:rsidRPr="0006204E">
        <w:rPr>
          <w:rFonts w:cs="Arial"/>
          <w:bCs/>
          <w:iCs/>
          <w:szCs w:val="24"/>
          <w:lang w:eastAsia="bg-BG"/>
        </w:rPr>
        <w:lastRenderedPageBreak/>
        <w:t xml:space="preserve">Целта на настоящия анализ е да отговори на следните въпроси: </w:t>
      </w:r>
    </w:p>
    <w:p w:rsidR="0006204E" w:rsidRDefault="0006204E" w:rsidP="00D978BB">
      <w:pPr>
        <w:numPr>
          <w:ilvl w:val="0"/>
          <w:numId w:val="8"/>
        </w:numPr>
        <w:ind w:left="714" w:hanging="357"/>
        <w:rPr>
          <w:rFonts w:cs="Arial"/>
          <w:bCs/>
          <w:iCs/>
          <w:szCs w:val="24"/>
          <w:lang w:eastAsia="bg-BG"/>
        </w:rPr>
      </w:pPr>
      <w:r w:rsidRPr="0006204E">
        <w:rPr>
          <w:rFonts w:cs="Arial"/>
          <w:bCs/>
          <w:iCs/>
          <w:szCs w:val="24"/>
          <w:lang w:eastAsia="bg-BG"/>
        </w:rPr>
        <w:t>Какво е мястото на разходите за управление на отпадъците в контекста на разходите за опазване на околната среда</w:t>
      </w:r>
    </w:p>
    <w:p w:rsidR="0006204E" w:rsidRPr="0006204E" w:rsidRDefault="0006204E" w:rsidP="00D978BB">
      <w:pPr>
        <w:numPr>
          <w:ilvl w:val="0"/>
          <w:numId w:val="8"/>
        </w:numPr>
        <w:ind w:left="714" w:hanging="357"/>
        <w:rPr>
          <w:rFonts w:cs="Arial"/>
          <w:bCs/>
          <w:iCs/>
          <w:szCs w:val="24"/>
          <w:lang w:eastAsia="bg-BG"/>
        </w:rPr>
      </w:pPr>
      <w:r>
        <w:rPr>
          <w:rFonts w:cs="Arial"/>
          <w:bCs/>
          <w:iCs/>
          <w:szCs w:val="24"/>
          <w:lang w:eastAsia="bg-BG"/>
        </w:rPr>
        <w:t xml:space="preserve">Какви са тенденциите в динамиката на </w:t>
      </w:r>
      <w:r w:rsidRPr="0006204E">
        <w:rPr>
          <w:rFonts w:cs="Arial"/>
          <w:bCs/>
          <w:iCs/>
          <w:szCs w:val="24"/>
          <w:lang w:eastAsia="bg-BG"/>
        </w:rPr>
        <w:t>разходите за управление на отпадъците</w:t>
      </w:r>
      <w:r>
        <w:rPr>
          <w:rFonts w:cs="Arial"/>
          <w:bCs/>
          <w:iCs/>
          <w:szCs w:val="24"/>
          <w:lang w:eastAsia="bg-BG"/>
        </w:rPr>
        <w:t xml:space="preserve"> в периода 2008-2018</w:t>
      </w:r>
    </w:p>
    <w:p w:rsidR="0006204E" w:rsidRDefault="0006204E" w:rsidP="00D978BB">
      <w:pPr>
        <w:numPr>
          <w:ilvl w:val="0"/>
          <w:numId w:val="8"/>
        </w:numPr>
        <w:ind w:left="714" w:hanging="357"/>
        <w:rPr>
          <w:rFonts w:cs="Arial"/>
          <w:bCs/>
          <w:iCs/>
          <w:szCs w:val="24"/>
          <w:lang w:eastAsia="bg-BG"/>
        </w:rPr>
      </w:pPr>
      <w:r w:rsidRPr="0006204E">
        <w:rPr>
          <w:rFonts w:cs="Arial"/>
          <w:bCs/>
          <w:iCs/>
          <w:szCs w:val="24"/>
          <w:lang w:eastAsia="bg-BG"/>
        </w:rPr>
        <w:t>Какво е разпределението по сектори и отрасли на разходите за управление на отпадъците в страната</w:t>
      </w:r>
    </w:p>
    <w:p w:rsidR="0006204E" w:rsidRPr="0006204E" w:rsidRDefault="0006204E" w:rsidP="00D978BB">
      <w:pPr>
        <w:numPr>
          <w:ilvl w:val="0"/>
          <w:numId w:val="8"/>
        </w:numPr>
        <w:ind w:left="714" w:hanging="357"/>
        <w:rPr>
          <w:rFonts w:cs="Arial"/>
          <w:bCs/>
          <w:iCs/>
          <w:szCs w:val="24"/>
          <w:lang w:eastAsia="bg-BG"/>
        </w:rPr>
      </w:pPr>
      <w:r>
        <w:rPr>
          <w:rFonts w:cs="Arial"/>
          <w:bCs/>
          <w:iCs/>
          <w:szCs w:val="24"/>
          <w:lang w:eastAsia="bg-BG"/>
        </w:rPr>
        <w:t>Какво е разпределението на разходите от гл.т. на инвестиции и оперативни разходи</w:t>
      </w:r>
    </w:p>
    <w:p w:rsidR="0006204E" w:rsidRPr="0006204E" w:rsidRDefault="0006204E" w:rsidP="00D978BB">
      <w:pPr>
        <w:numPr>
          <w:ilvl w:val="0"/>
          <w:numId w:val="8"/>
        </w:numPr>
        <w:ind w:left="714" w:hanging="357"/>
        <w:rPr>
          <w:rFonts w:cs="Arial"/>
          <w:bCs/>
          <w:iCs/>
          <w:szCs w:val="24"/>
          <w:lang w:eastAsia="bg-BG"/>
        </w:rPr>
      </w:pPr>
      <w:r w:rsidRPr="0006204E">
        <w:rPr>
          <w:rFonts w:cs="Arial"/>
          <w:bCs/>
          <w:iCs/>
          <w:szCs w:val="24"/>
          <w:lang w:eastAsia="bg-BG"/>
        </w:rPr>
        <w:t xml:space="preserve">Какви са източниците на финансиране на оперативните и инвестиционните разходи в управлението на отпадъците </w:t>
      </w:r>
    </w:p>
    <w:p w:rsidR="0006204E" w:rsidRDefault="0006204E" w:rsidP="0006204E"/>
    <w:p w:rsidR="0006204E" w:rsidRDefault="0006204E" w:rsidP="0006204E"/>
    <w:p w:rsidR="00E82AC1" w:rsidRPr="00F912D8" w:rsidRDefault="00F912D8" w:rsidP="00F912D8">
      <w:pPr>
        <w:pStyle w:val="1"/>
      </w:pPr>
      <w:bookmarkStart w:id="5" w:name="_Toc45718794"/>
      <w:bookmarkStart w:id="6" w:name="_Toc68855848"/>
      <w:r w:rsidRPr="00F912D8">
        <w:t>Разходи за управление на отпадъците</w:t>
      </w:r>
      <w:bookmarkEnd w:id="5"/>
      <w:bookmarkEnd w:id="6"/>
    </w:p>
    <w:p w:rsidR="00897815" w:rsidRDefault="00512127" w:rsidP="00897815">
      <w:r>
        <w:t>Анализът на разходите за управление на отпадъците е изготвен въз основа на информация от НСИ. През 2014 г. НСИ променя методологията на отчитане на разходите за опазване на околната среда в съответствие с приемането на  Р</w:t>
      </w:r>
      <w:r w:rsidRPr="00512127">
        <w:t>егламент за изменение (</w:t>
      </w:r>
      <w:hyperlink r:id="rId10" w:history="1">
        <w:r w:rsidRPr="00512127">
          <w:t>Регламент (ЕС) № 538/2014</w:t>
        </w:r>
      </w:hyperlink>
      <w:r w:rsidRPr="00512127">
        <w:t xml:space="preserve">) </w:t>
      </w:r>
      <w:r>
        <w:t xml:space="preserve">на Регламент 691/2011 </w:t>
      </w:r>
      <w:r w:rsidRPr="00512127">
        <w:t>Иконом</w:t>
      </w:r>
      <w:r>
        <w:t xml:space="preserve">ически сметки за околната среда. По този начин Регламент 691/2011 </w:t>
      </w:r>
      <w:r w:rsidRPr="00512127">
        <w:t>Иконом</w:t>
      </w:r>
      <w:r>
        <w:t>ически сметки за околната среда</w:t>
      </w:r>
      <w:r w:rsidRPr="00512127">
        <w:t xml:space="preserve"> </w:t>
      </w:r>
      <w:r w:rsidR="00897815">
        <w:t>е</w:t>
      </w:r>
      <w:r>
        <w:t xml:space="preserve"> </w:t>
      </w:r>
      <w:r w:rsidRPr="00512127">
        <w:t>допълнително надград</w:t>
      </w:r>
      <w:r>
        <w:t xml:space="preserve">ен и </w:t>
      </w:r>
      <w:r w:rsidR="00897815">
        <w:t>са</w:t>
      </w:r>
      <w:r>
        <w:t xml:space="preserve"> </w:t>
      </w:r>
      <w:r w:rsidRPr="00512127">
        <w:t xml:space="preserve"> въве</w:t>
      </w:r>
      <w:r>
        <w:t>дени</w:t>
      </w:r>
      <w:r w:rsidRPr="00512127">
        <w:t xml:space="preserve"> 3 допълнителни модула:</w:t>
      </w:r>
      <w:r>
        <w:t xml:space="preserve"> </w:t>
      </w:r>
    </w:p>
    <w:p w:rsidR="00897815" w:rsidRDefault="00512127" w:rsidP="00897815">
      <w:pPr>
        <w:pStyle w:val="ListParagraph"/>
        <w:numPr>
          <w:ilvl w:val="0"/>
          <w:numId w:val="17"/>
        </w:numPr>
        <w:contextualSpacing w:val="0"/>
      </w:pPr>
      <w:r w:rsidRPr="00512127">
        <w:t>сметки за разходите, свързани с опазването на околната среда (икономическите ресурси, заделени</w:t>
      </w:r>
      <w:r w:rsidR="00897815">
        <w:t xml:space="preserve"> за опазване на околната среда)</w:t>
      </w:r>
    </w:p>
    <w:p w:rsidR="00897815" w:rsidRDefault="00512127" w:rsidP="00897815">
      <w:pPr>
        <w:pStyle w:val="ListParagraph"/>
        <w:numPr>
          <w:ilvl w:val="0"/>
          <w:numId w:val="17"/>
        </w:numPr>
        <w:contextualSpacing w:val="0"/>
      </w:pPr>
      <w:r w:rsidRPr="00512127">
        <w:t xml:space="preserve">сметки за сектора на екологичните стоки и услуги (производствените дейности на дадена държава, които създават екологични стоки и услуги) </w:t>
      </w:r>
    </w:p>
    <w:p w:rsidR="00897815" w:rsidRDefault="00512127" w:rsidP="00897815">
      <w:pPr>
        <w:pStyle w:val="ListParagraph"/>
        <w:numPr>
          <w:ilvl w:val="0"/>
          <w:numId w:val="17"/>
        </w:numPr>
        <w:contextualSpacing w:val="0"/>
      </w:pPr>
      <w:r w:rsidRPr="00512127">
        <w:t>енергийни сметки (доклади за физически енергийни потоци като електричество, изразено в тераджаули, в рамките на дадена икономика и изходящите потоци към други икономики/околната среда).</w:t>
      </w:r>
      <w:r w:rsidR="0065410D">
        <w:t xml:space="preserve"> </w:t>
      </w:r>
    </w:p>
    <w:p w:rsidR="00512127" w:rsidRDefault="00B15D7C" w:rsidP="00897815">
      <w:r>
        <w:t xml:space="preserve">В съответствие с тези нови изисквания от 2014 г.  НСИ започва да отчита разходите за </w:t>
      </w:r>
      <w:r w:rsidRPr="00B15D7C">
        <w:t>услуги</w:t>
      </w:r>
      <w:r w:rsidR="00897815">
        <w:t>,</w:t>
      </w:r>
      <w:r w:rsidRPr="00B15D7C">
        <w:t xml:space="preserve"> свързани с околната среда (за отвеждане и пречистване на отпадъчни води и обезвреждане на отпадъци</w:t>
      </w:r>
      <w:r>
        <w:t xml:space="preserve"> и др.) отделно от разходите за опазване на околната среда. Поради тази причина анализираният за целите на разработването на НПУО период е разделен на два подпериода с оглед невъзможноста за </w:t>
      </w:r>
      <w:r w:rsidR="009B693D">
        <w:t>съпоставимост на данните. Т</w:t>
      </w:r>
      <w:r>
        <w:t>ези периоди за 2008-2013 г. и 2014-2018 г.</w:t>
      </w:r>
    </w:p>
    <w:p w:rsidR="00897815" w:rsidRDefault="00897815">
      <w:pPr>
        <w:spacing w:after="0"/>
        <w:jc w:val="left"/>
        <w:rPr>
          <w:rFonts w:eastAsia="Times New Roman"/>
          <w:b/>
          <w:bCs/>
          <w:szCs w:val="20"/>
          <w:lang w:eastAsia="bg-BG"/>
        </w:rPr>
      </w:pPr>
      <w:bookmarkStart w:id="7" w:name="_Toc45719025"/>
      <w:r>
        <w:br w:type="page"/>
      </w:r>
    </w:p>
    <w:p w:rsidR="005E6676" w:rsidRDefault="005E6676" w:rsidP="005E6676">
      <w:pPr>
        <w:pStyle w:val="Caption"/>
      </w:pPr>
      <w:r>
        <w:lastRenderedPageBreak/>
        <w:t xml:space="preserve">Таблица </w:t>
      </w:r>
      <w:r w:rsidR="00680D95">
        <w:fldChar w:fldCharType="begin"/>
      </w:r>
      <w:r>
        <w:instrText xml:space="preserve"> SEQ Таблица \* ARABIC </w:instrText>
      </w:r>
      <w:r w:rsidR="00680D95">
        <w:fldChar w:fldCharType="separate"/>
      </w:r>
      <w:r w:rsidR="000F1791">
        <w:rPr>
          <w:noProof/>
        </w:rPr>
        <w:t>1</w:t>
      </w:r>
      <w:r w:rsidR="00680D95">
        <w:fldChar w:fldCharType="end"/>
      </w:r>
      <w:r>
        <w:t xml:space="preserve">. </w:t>
      </w:r>
      <w:r w:rsidRPr="005E6676">
        <w:t>Разходи за управление на отпадъците в контекста на разходите за опазване на околната среда в България</w:t>
      </w:r>
      <w:r w:rsidR="008E06A1">
        <w:t xml:space="preserve"> за периода 2008-2013 г.</w:t>
      </w:r>
      <w:bookmarkEnd w:id="7"/>
    </w:p>
    <w:tbl>
      <w:tblPr>
        <w:tblW w:w="10207" w:type="dxa"/>
        <w:tblInd w:w="-318" w:type="dxa"/>
        <w:tblLayout w:type="fixed"/>
        <w:tblLook w:val="04A0" w:firstRow="1" w:lastRow="0" w:firstColumn="1" w:lastColumn="0" w:noHBand="0" w:noVBand="1"/>
      </w:tblPr>
      <w:tblGrid>
        <w:gridCol w:w="2836"/>
        <w:gridCol w:w="1228"/>
        <w:gridCol w:w="1229"/>
        <w:gridCol w:w="1228"/>
        <w:gridCol w:w="1229"/>
        <w:gridCol w:w="1228"/>
        <w:gridCol w:w="1229"/>
      </w:tblGrid>
      <w:tr w:rsidR="008E06A1" w:rsidRPr="008E06A1" w:rsidTr="0098477B">
        <w:trPr>
          <w:trHeight w:val="270"/>
          <w:tblHeader/>
        </w:trPr>
        <w:tc>
          <w:tcPr>
            <w:tcW w:w="283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8E06A1" w:rsidRPr="008E06A1" w:rsidRDefault="008E06A1" w:rsidP="005E6676">
            <w:pPr>
              <w:spacing w:after="0"/>
              <w:jc w:val="left"/>
              <w:rPr>
                <w:rFonts w:ascii="Calibri" w:eastAsia="Times New Roman" w:hAnsi="Calibri"/>
                <w:b/>
                <w:bCs/>
                <w:sz w:val="20"/>
                <w:szCs w:val="20"/>
                <w:lang w:val="en-GB" w:eastAsia="en-GB"/>
              </w:rPr>
            </w:pPr>
            <w:r w:rsidRPr="008E06A1">
              <w:rPr>
                <w:rFonts w:ascii="Calibri" w:eastAsia="Times New Roman" w:hAnsi="Calibri"/>
                <w:b/>
                <w:bCs/>
                <w:sz w:val="20"/>
                <w:szCs w:val="20"/>
                <w:lang w:eastAsia="en-GB"/>
              </w:rPr>
              <w:t> </w:t>
            </w:r>
          </w:p>
        </w:tc>
        <w:tc>
          <w:tcPr>
            <w:tcW w:w="1228" w:type="dxa"/>
            <w:tcBorders>
              <w:top w:val="single" w:sz="8" w:space="0" w:color="auto"/>
              <w:left w:val="nil"/>
              <w:bottom w:val="single" w:sz="8" w:space="0" w:color="auto"/>
              <w:right w:val="single" w:sz="8" w:space="0" w:color="auto"/>
            </w:tcBorders>
            <w:shd w:val="clear" w:color="auto" w:fill="auto"/>
            <w:noWrap/>
            <w:vAlign w:val="bottom"/>
            <w:hideMark/>
          </w:tcPr>
          <w:p w:rsidR="008E06A1" w:rsidRPr="008E06A1" w:rsidRDefault="008E06A1" w:rsidP="005E6676">
            <w:pPr>
              <w:spacing w:after="0"/>
              <w:jc w:val="center"/>
              <w:rPr>
                <w:rFonts w:ascii="Calibri" w:eastAsia="Times New Roman" w:hAnsi="Calibri"/>
                <w:b/>
                <w:bCs/>
                <w:sz w:val="20"/>
                <w:szCs w:val="20"/>
                <w:lang w:val="en-GB" w:eastAsia="en-GB"/>
              </w:rPr>
            </w:pPr>
            <w:r w:rsidRPr="008E06A1">
              <w:rPr>
                <w:rFonts w:ascii="Calibri" w:eastAsia="Times New Roman" w:hAnsi="Calibri"/>
                <w:b/>
                <w:bCs/>
                <w:sz w:val="20"/>
                <w:szCs w:val="20"/>
                <w:lang w:eastAsia="en-GB"/>
              </w:rPr>
              <w:t>2008</w:t>
            </w:r>
          </w:p>
        </w:tc>
        <w:tc>
          <w:tcPr>
            <w:tcW w:w="1229" w:type="dxa"/>
            <w:tcBorders>
              <w:top w:val="single" w:sz="8" w:space="0" w:color="auto"/>
              <w:left w:val="nil"/>
              <w:bottom w:val="single" w:sz="8" w:space="0" w:color="auto"/>
              <w:right w:val="single" w:sz="8" w:space="0" w:color="auto"/>
            </w:tcBorders>
            <w:shd w:val="clear" w:color="auto" w:fill="auto"/>
            <w:noWrap/>
            <w:vAlign w:val="bottom"/>
            <w:hideMark/>
          </w:tcPr>
          <w:p w:rsidR="008E06A1" w:rsidRPr="008E06A1" w:rsidRDefault="008E06A1" w:rsidP="005E6676">
            <w:pPr>
              <w:spacing w:after="0"/>
              <w:jc w:val="center"/>
              <w:rPr>
                <w:rFonts w:ascii="Calibri" w:eastAsia="Times New Roman" w:hAnsi="Calibri"/>
                <w:b/>
                <w:bCs/>
                <w:sz w:val="20"/>
                <w:szCs w:val="20"/>
                <w:lang w:val="en-GB" w:eastAsia="en-GB"/>
              </w:rPr>
            </w:pPr>
            <w:r w:rsidRPr="008E06A1">
              <w:rPr>
                <w:rFonts w:ascii="Calibri" w:eastAsia="Times New Roman" w:hAnsi="Calibri"/>
                <w:b/>
                <w:bCs/>
                <w:sz w:val="20"/>
                <w:szCs w:val="20"/>
                <w:lang w:eastAsia="en-GB"/>
              </w:rPr>
              <w:t>2009</w:t>
            </w:r>
          </w:p>
        </w:tc>
        <w:tc>
          <w:tcPr>
            <w:tcW w:w="1228" w:type="dxa"/>
            <w:tcBorders>
              <w:top w:val="single" w:sz="8" w:space="0" w:color="auto"/>
              <w:left w:val="nil"/>
              <w:bottom w:val="single" w:sz="8" w:space="0" w:color="auto"/>
              <w:right w:val="single" w:sz="8" w:space="0" w:color="auto"/>
            </w:tcBorders>
            <w:shd w:val="clear" w:color="auto" w:fill="auto"/>
            <w:noWrap/>
            <w:vAlign w:val="bottom"/>
            <w:hideMark/>
          </w:tcPr>
          <w:p w:rsidR="008E06A1" w:rsidRPr="008E06A1" w:rsidRDefault="008E06A1" w:rsidP="005E6676">
            <w:pPr>
              <w:spacing w:after="0"/>
              <w:jc w:val="center"/>
              <w:rPr>
                <w:rFonts w:ascii="Calibri" w:eastAsia="Times New Roman" w:hAnsi="Calibri"/>
                <w:b/>
                <w:bCs/>
                <w:sz w:val="20"/>
                <w:szCs w:val="20"/>
                <w:lang w:val="en-GB" w:eastAsia="en-GB"/>
              </w:rPr>
            </w:pPr>
            <w:r w:rsidRPr="008E06A1">
              <w:rPr>
                <w:rFonts w:ascii="Calibri" w:eastAsia="Times New Roman" w:hAnsi="Calibri"/>
                <w:b/>
                <w:bCs/>
                <w:sz w:val="20"/>
                <w:szCs w:val="20"/>
                <w:lang w:eastAsia="en-GB"/>
              </w:rPr>
              <w:t>2010</w:t>
            </w:r>
          </w:p>
        </w:tc>
        <w:tc>
          <w:tcPr>
            <w:tcW w:w="1229" w:type="dxa"/>
            <w:tcBorders>
              <w:top w:val="single" w:sz="8" w:space="0" w:color="auto"/>
              <w:left w:val="nil"/>
              <w:bottom w:val="single" w:sz="8" w:space="0" w:color="auto"/>
              <w:right w:val="single" w:sz="8" w:space="0" w:color="auto"/>
            </w:tcBorders>
            <w:shd w:val="clear" w:color="auto" w:fill="auto"/>
            <w:noWrap/>
            <w:vAlign w:val="bottom"/>
            <w:hideMark/>
          </w:tcPr>
          <w:p w:rsidR="008E06A1" w:rsidRPr="008E06A1" w:rsidRDefault="008E06A1" w:rsidP="005E6676">
            <w:pPr>
              <w:spacing w:after="0"/>
              <w:jc w:val="center"/>
              <w:rPr>
                <w:rFonts w:ascii="Calibri" w:eastAsia="Times New Roman" w:hAnsi="Calibri"/>
                <w:b/>
                <w:bCs/>
                <w:sz w:val="20"/>
                <w:szCs w:val="20"/>
                <w:lang w:val="en-GB" w:eastAsia="en-GB"/>
              </w:rPr>
            </w:pPr>
            <w:r w:rsidRPr="008E06A1">
              <w:rPr>
                <w:rFonts w:ascii="Calibri" w:eastAsia="Times New Roman" w:hAnsi="Calibri"/>
                <w:b/>
                <w:bCs/>
                <w:sz w:val="20"/>
                <w:szCs w:val="20"/>
                <w:lang w:eastAsia="en-GB"/>
              </w:rPr>
              <w:t>2011</w:t>
            </w:r>
          </w:p>
        </w:tc>
        <w:tc>
          <w:tcPr>
            <w:tcW w:w="1228" w:type="dxa"/>
            <w:tcBorders>
              <w:top w:val="single" w:sz="8" w:space="0" w:color="auto"/>
              <w:left w:val="nil"/>
              <w:bottom w:val="single" w:sz="8" w:space="0" w:color="auto"/>
              <w:right w:val="single" w:sz="8" w:space="0" w:color="auto"/>
            </w:tcBorders>
            <w:shd w:val="clear" w:color="auto" w:fill="auto"/>
            <w:noWrap/>
            <w:vAlign w:val="bottom"/>
            <w:hideMark/>
          </w:tcPr>
          <w:p w:rsidR="008E06A1" w:rsidRPr="008E06A1" w:rsidRDefault="008E06A1" w:rsidP="005E6676">
            <w:pPr>
              <w:spacing w:after="0"/>
              <w:jc w:val="center"/>
              <w:rPr>
                <w:rFonts w:ascii="Calibri" w:eastAsia="Times New Roman" w:hAnsi="Calibri"/>
                <w:b/>
                <w:bCs/>
                <w:sz w:val="20"/>
                <w:szCs w:val="20"/>
                <w:lang w:val="en-GB" w:eastAsia="en-GB"/>
              </w:rPr>
            </w:pPr>
            <w:r w:rsidRPr="008E06A1">
              <w:rPr>
                <w:rFonts w:ascii="Calibri" w:eastAsia="Times New Roman" w:hAnsi="Calibri"/>
                <w:b/>
                <w:bCs/>
                <w:sz w:val="20"/>
                <w:szCs w:val="20"/>
                <w:lang w:eastAsia="en-GB"/>
              </w:rPr>
              <w:t>2012</w:t>
            </w:r>
          </w:p>
        </w:tc>
        <w:tc>
          <w:tcPr>
            <w:tcW w:w="1229" w:type="dxa"/>
            <w:tcBorders>
              <w:top w:val="single" w:sz="8" w:space="0" w:color="auto"/>
              <w:left w:val="nil"/>
              <w:bottom w:val="single" w:sz="8" w:space="0" w:color="auto"/>
              <w:right w:val="single" w:sz="8" w:space="0" w:color="auto"/>
            </w:tcBorders>
            <w:shd w:val="clear" w:color="auto" w:fill="auto"/>
            <w:noWrap/>
            <w:vAlign w:val="bottom"/>
            <w:hideMark/>
          </w:tcPr>
          <w:p w:rsidR="008E06A1" w:rsidRPr="008E06A1" w:rsidRDefault="008E06A1" w:rsidP="005E6676">
            <w:pPr>
              <w:spacing w:after="0"/>
              <w:jc w:val="center"/>
              <w:rPr>
                <w:rFonts w:ascii="Calibri" w:eastAsia="Times New Roman" w:hAnsi="Calibri"/>
                <w:b/>
                <w:bCs/>
                <w:sz w:val="20"/>
                <w:szCs w:val="20"/>
                <w:lang w:val="en-GB" w:eastAsia="en-GB"/>
              </w:rPr>
            </w:pPr>
            <w:r w:rsidRPr="008E06A1">
              <w:rPr>
                <w:rFonts w:ascii="Calibri" w:eastAsia="Times New Roman" w:hAnsi="Calibri"/>
                <w:b/>
                <w:bCs/>
                <w:sz w:val="20"/>
                <w:szCs w:val="20"/>
                <w:lang w:val="en-GB" w:eastAsia="en-GB"/>
              </w:rPr>
              <w:t>2013</w:t>
            </w:r>
          </w:p>
        </w:tc>
      </w:tr>
      <w:tr w:rsidR="009E56C5" w:rsidRPr="008E06A1" w:rsidTr="0098477B">
        <w:trPr>
          <w:trHeight w:val="525"/>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Разходи за управление на отпадъците (хил.лв.)</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580 949</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540 974</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677 371</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749 118</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1 078 291</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1 174 316</w:t>
            </w:r>
          </w:p>
        </w:tc>
      </w:tr>
      <w:tr w:rsidR="009E56C5" w:rsidRPr="008E06A1" w:rsidTr="0098477B">
        <w:trPr>
          <w:trHeight w:val="270"/>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897815">
            <w:pPr>
              <w:spacing w:after="0"/>
              <w:ind w:left="46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в т.ч. инвестиции (хил.лв.)</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180 383</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119 307</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241 997</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166 455</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145 055</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215 341</w:t>
            </w:r>
          </w:p>
        </w:tc>
      </w:tr>
      <w:tr w:rsidR="009E56C5" w:rsidRPr="008E06A1" w:rsidTr="0098477B">
        <w:trPr>
          <w:trHeight w:val="525"/>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Разходи за опазване на околната среда (хил.лв.)</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1 700 329</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1 280 563</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1 273 777</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1 438 165</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1 693 583</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2 098 906</w:t>
            </w:r>
          </w:p>
        </w:tc>
      </w:tr>
      <w:tr w:rsidR="009E56C5" w:rsidRPr="008E06A1" w:rsidTr="0098477B">
        <w:trPr>
          <w:trHeight w:val="270"/>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97815" w:rsidRDefault="009E56C5" w:rsidP="00897815">
            <w:pPr>
              <w:spacing w:after="0"/>
              <w:ind w:left="460"/>
              <w:jc w:val="left"/>
              <w:rPr>
                <w:rFonts w:ascii="Calibri" w:eastAsia="Times New Roman" w:hAnsi="Calibri"/>
                <w:sz w:val="20"/>
                <w:szCs w:val="20"/>
                <w:lang w:eastAsia="en-GB"/>
              </w:rPr>
            </w:pPr>
            <w:r w:rsidRPr="008E06A1">
              <w:rPr>
                <w:rFonts w:ascii="Calibri" w:eastAsia="Times New Roman" w:hAnsi="Calibri"/>
                <w:sz w:val="20"/>
                <w:szCs w:val="20"/>
                <w:lang w:eastAsia="en-GB"/>
              </w:rPr>
              <w:t>в т.ч. инвестиции (хил.лв.)</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835 826</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545 291</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545 564</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511 813</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413 573</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743 585</w:t>
            </w:r>
          </w:p>
        </w:tc>
      </w:tr>
      <w:tr w:rsidR="009E56C5" w:rsidRPr="008E06A1" w:rsidTr="0098477B">
        <w:trPr>
          <w:trHeight w:val="571"/>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Дял на разходите за управление на отпадъците в разходите за опазване на околната среда</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34,2%</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42,2%</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53,2%</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52,1%</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63,7%</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55,9%</w:t>
            </w:r>
          </w:p>
        </w:tc>
      </w:tr>
      <w:tr w:rsidR="009E56C5" w:rsidRPr="008E06A1" w:rsidTr="0098477B">
        <w:trPr>
          <w:trHeight w:val="902"/>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Дял на инвестициите за управление на отпадъците в инвестициите за опазване на околната среда</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21,6%</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21,9%</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44,4%</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32,5%</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35,1%</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29,0%</w:t>
            </w:r>
          </w:p>
        </w:tc>
      </w:tr>
      <w:tr w:rsidR="009E56C5" w:rsidRPr="008E06A1" w:rsidTr="0098477B">
        <w:trPr>
          <w:trHeight w:val="1035"/>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Дял на инвестициите за управление на отпадъците в общите разходи за управление на отпадъците</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31,0%</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22,1%</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35,7%</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22,2%</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13,5%</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18,3%</w:t>
            </w:r>
          </w:p>
        </w:tc>
      </w:tr>
      <w:tr w:rsidR="009E56C5" w:rsidRPr="008E06A1" w:rsidTr="0098477B">
        <w:trPr>
          <w:trHeight w:val="525"/>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Брутен вътрешен продукт (хил.лв.)</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69 295 031</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68 321 610</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74 406 713</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80 681 918</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82 209 022</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81 919 394</w:t>
            </w:r>
          </w:p>
        </w:tc>
      </w:tr>
      <w:tr w:rsidR="009E56C5" w:rsidRPr="008E06A1" w:rsidTr="0098477B">
        <w:trPr>
          <w:trHeight w:val="780"/>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Дял на разходите за управление на отпадъците в БВП</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0,84%</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0,79%</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0,91%</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0,93%</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1,31%</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1,43%</w:t>
            </w:r>
          </w:p>
        </w:tc>
      </w:tr>
      <w:tr w:rsidR="009E56C5" w:rsidRPr="008E06A1" w:rsidTr="0098477B">
        <w:trPr>
          <w:trHeight w:val="422"/>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Динамика на общо разходите за управление на отпадъците (%, предх.год.=100)</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100,0%</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93,1%</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125,2%</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110,6%</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143,9%</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108,9%</w:t>
            </w:r>
          </w:p>
        </w:tc>
      </w:tr>
      <w:tr w:rsidR="009E56C5" w:rsidRPr="008E06A1" w:rsidTr="0098477B">
        <w:trPr>
          <w:trHeight w:val="1035"/>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Динамика на инвестициите за управление на отпадъците (%, предх.год.=100)</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100,0%</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66,1%</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202,8%</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68,8%</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87,1%</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148,5%</w:t>
            </w:r>
          </w:p>
        </w:tc>
      </w:tr>
      <w:tr w:rsidR="009E56C5" w:rsidRPr="008E06A1" w:rsidTr="0098477B">
        <w:trPr>
          <w:trHeight w:val="525"/>
        </w:trPr>
        <w:tc>
          <w:tcPr>
            <w:tcW w:w="2836" w:type="dxa"/>
            <w:tcBorders>
              <w:top w:val="nil"/>
              <w:left w:val="single" w:sz="8" w:space="0" w:color="auto"/>
              <w:bottom w:val="single" w:sz="8" w:space="0" w:color="auto"/>
              <w:right w:val="single" w:sz="8" w:space="0" w:color="auto"/>
            </w:tcBorders>
            <w:shd w:val="clear" w:color="auto" w:fill="auto"/>
            <w:vAlign w:val="bottom"/>
            <w:hideMark/>
          </w:tcPr>
          <w:p w:rsidR="009E56C5" w:rsidRPr="008E06A1" w:rsidRDefault="009E56C5" w:rsidP="005E6676">
            <w:pPr>
              <w:spacing w:after="0"/>
              <w:jc w:val="left"/>
              <w:rPr>
                <w:rFonts w:ascii="Calibri" w:eastAsia="Times New Roman" w:hAnsi="Calibri"/>
                <w:sz w:val="20"/>
                <w:szCs w:val="20"/>
                <w:lang w:val="en-GB" w:eastAsia="en-GB"/>
              </w:rPr>
            </w:pPr>
            <w:r w:rsidRPr="008E06A1">
              <w:rPr>
                <w:rFonts w:ascii="Calibri" w:eastAsia="Times New Roman" w:hAnsi="Calibri"/>
                <w:sz w:val="20"/>
                <w:szCs w:val="20"/>
                <w:lang w:eastAsia="en-GB"/>
              </w:rPr>
              <w:t>Динамика на БВП (%, предх.год.=100)</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100,0%</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98,6%</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108,9%</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108,4%</w:t>
            </w:r>
          </w:p>
        </w:tc>
        <w:tc>
          <w:tcPr>
            <w:tcW w:w="1228"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101,9%</w:t>
            </w:r>
          </w:p>
        </w:tc>
        <w:tc>
          <w:tcPr>
            <w:tcW w:w="1229"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99,6%</w:t>
            </w:r>
          </w:p>
        </w:tc>
      </w:tr>
    </w:tbl>
    <w:p w:rsidR="005E6676" w:rsidRPr="00897815" w:rsidRDefault="00BD44E4" w:rsidP="00BD44E4">
      <w:pPr>
        <w:jc w:val="center"/>
        <w:rPr>
          <w:i/>
        </w:rPr>
      </w:pPr>
      <w:r w:rsidRPr="00897815">
        <w:rPr>
          <w:i/>
        </w:rPr>
        <w:t>Източник: Национален статистически институт</w:t>
      </w:r>
      <w:r w:rsidR="00897815" w:rsidRPr="00897815">
        <w:rPr>
          <w:i/>
        </w:rPr>
        <w:t xml:space="preserve"> и собствени изчисления </w:t>
      </w:r>
    </w:p>
    <w:p w:rsidR="005E6676" w:rsidRDefault="009B693D" w:rsidP="0006204E">
      <w:r>
        <w:t>В периода 2008-2013 г.</w:t>
      </w:r>
      <w:r w:rsidR="004D2D81" w:rsidRPr="004D2D81">
        <w:t xml:space="preserve"> разходите за управление на отпадъците имат най-висок дял в общите разходи за опазване на околната среда в България като този дял непрекъснато нараства през анализирания период</w:t>
      </w:r>
      <w:r w:rsidR="000130D1">
        <w:t xml:space="preserve"> и изпреварват всички останали сектори на околната среда</w:t>
      </w:r>
      <w:r w:rsidR="004D2D81" w:rsidRPr="004D2D81">
        <w:t>.</w:t>
      </w:r>
    </w:p>
    <w:p w:rsidR="00AA323F" w:rsidRPr="00AA323F" w:rsidRDefault="00AA323F" w:rsidP="00AA323F">
      <w:r w:rsidRPr="00AA323F">
        <w:t>Преобладаващата част от разходите по управление на отпадъците в страната</w:t>
      </w:r>
      <w:r>
        <w:t xml:space="preserve"> през този период</w:t>
      </w:r>
      <w:r w:rsidRPr="00AA323F">
        <w:t xml:space="preserve"> се формират от оперативни разходи. В сравнение с другия голям сектор на опазването на околната среда – управлението на отпадъчните води, при управлението на отпадъците делът на инвестициите в общата структура на разходите </w:t>
      </w:r>
      <w:r>
        <w:t xml:space="preserve">през този период </w:t>
      </w:r>
      <w:r w:rsidRPr="00AA323F">
        <w:t xml:space="preserve">е сравнително нисък. </w:t>
      </w:r>
    </w:p>
    <w:p w:rsidR="00AA323F" w:rsidRDefault="00AA323F" w:rsidP="00AA323F">
      <w:r w:rsidRPr="00AA323F">
        <w:t xml:space="preserve">В тази връзка общата динамика на разходите за управление на отпадъците в страната се определя от нарастващите оперативни разходи на бизнеса и общините в резултат от </w:t>
      </w:r>
      <w:r w:rsidRPr="00AA323F">
        <w:lastRenderedPageBreak/>
        <w:t>усилията им за постигане на различните нормативни изисквания и цели</w:t>
      </w:r>
      <w:r w:rsidR="0098477B">
        <w:t>,</w:t>
      </w:r>
      <w:r w:rsidRPr="00AA323F">
        <w:t xml:space="preserve"> свързани с управлението на отпадъците и др. В отделни години от анализирания период – 2008 г. и 2010 г. динамиката на разходите за управление на отпадъците се влияе и от разходи с инвестиционна насоченост:</w:t>
      </w:r>
    </w:p>
    <w:p w:rsidR="00AA323F" w:rsidRPr="00AA323F" w:rsidRDefault="00AA323F" w:rsidP="00D978BB">
      <w:pPr>
        <w:pStyle w:val="ListParagraph"/>
        <w:numPr>
          <w:ilvl w:val="0"/>
          <w:numId w:val="9"/>
        </w:numPr>
        <w:ind w:left="714" w:hanging="357"/>
        <w:contextualSpacing w:val="0"/>
      </w:pPr>
      <w:r w:rsidRPr="00AA323F">
        <w:t>Разплащанията по проектите по програма ИСПА, свързани с изграждането на 5 депа за битови отпадъци (Монтана, Русе, Севлиево, Силистра и Созопол) и рекултивация на 14 общински сметища (2008-2010 г.), разплащания по ОПОС</w:t>
      </w:r>
      <w:r w:rsidR="00310D3C">
        <w:rPr>
          <w:lang w:val="bg-BG"/>
        </w:rPr>
        <w:t xml:space="preserve"> </w:t>
      </w:r>
      <w:r w:rsidRPr="00AA323F">
        <w:t>2007-2013</w:t>
      </w:r>
      <w:r>
        <w:rPr>
          <w:lang w:val="bg-BG"/>
        </w:rPr>
        <w:t xml:space="preserve"> </w:t>
      </w:r>
      <w:r w:rsidRPr="00AA323F">
        <w:t xml:space="preserve">г. за проекти на общини по опадъци, както  и на съоръжния за битови отпадъци, финансирани от ПУДООС през </w:t>
      </w:r>
      <w:r>
        <w:t>2011 и 2012</w:t>
      </w:r>
      <w:r>
        <w:rPr>
          <w:lang w:val="bg-BG"/>
        </w:rPr>
        <w:t xml:space="preserve"> </w:t>
      </w:r>
      <w:r>
        <w:t>г.</w:t>
      </w:r>
    </w:p>
    <w:p w:rsidR="00AA323F" w:rsidRPr="00AA323F" w:rsidRDefault="00AA323F" w:rsidP="00D978BB">
      <w:pPr>
        <w:pStyle w:val="ListParagraph"/>
        <w:numPr>
          <w:ilvl w:val="0"/>
          <w:numId w:val="9"/>
        </w:numPr>
        <w:ind w:left="714" w:hanging="357"/>
        <w:contextualSpacing w:val="0"/>
      </w:pPr>
      <w:r w:rsidRPr="00AA323F">
        <w:t>Изграждането на инсталации за оползотворяване на отпадъци</w:t>
      </w:r>
      <w:r>
        <w:t xml:space="preserve"> от страна на бизнеса (2008 г.)</w:t>
      </w:r>
    </w:p>
    <w:p w:rsidR="00AA323F" w:rsidRPr="00766AFD" w:rsidRDefault="00AA323F" w:rsidP="00D978BB">
      <w:pPr>
        <w:pStyle w:val="ListParagraph"/>
        <w:numPr>
          <w:ilvl w:val="0"/>
          <w:numId w:val="9"/>
        </w:numPr>
        <w:ind w:left="714" w:hanging="357"/>
        <w:contextualSpacing w:val="0"/>
      </w:pPr>
      <w:r w:rsidRPr="00AA323F">
        <w:t>Изграждането на съоръжения за третиране на индустриални отпадъци от големите електроцентрали по линия на изискванията на комплексните разрешителни (2010</w:t>
      </w:r>
      <w:r>
        <w:rPr>
          <w:lang w:val="bg-BG"/>
        </w:rPr>
        <w:t xml:space="preserve"> </w:t>
      </w:r>
      <w:r w:rsidRPr="00AA323F">
        <w:t xml:space="preserve">г.). </w:t>
      </w:r>
    </w:p>
    <w:p w:rsidR="00766AFD" w:rsidRPr="00AA323F" w:rsidRDefault="00766AFD" w:rsidP="00D978BB">
      <w:pPr>
        <w:pStyle w:val="ListParagraph"/>
        <w:numPr>
          <w:ilvl w:val="0"/>
          <w:numId w:val="9"/>
        </w:numPr>
        <w:ind w:left="714" w:hanging="357"/>
        <w:contextualSpacing w:val="0"/>
      </w:pPr>
      <w:r>
        <w:rPr>
          <w:lang w:val="bg-BG"/>
        </w:rPr>
        <w:t>Разплащания по ОП</w:t>
      </w:r>
      <w:r w:rsidR="00310D3C">
        <w:rPr>
          <w:lang w:val="bg-BG"/>
        </w:rPr>
        <w:t>О</w:t>
      </w:r>
      <w:r>
        <w:rPr>
          <w:lang w:val="bg-BG"/>
        </w:rPr>
        <w:t xml:space="preserve">С 2007-2013 г. свързани с изграждането на общинска инфраструктур за управление на отпадъците през </w:t>
      </w:r>
      <w:r w:rsidR="00DA4717">
        <w:rPr>
          <w:lang w:val="bg-BG"/>
        </w:rPr>
        <w:t xml:space="preserve">2012 и </w:t>
      </w:r>
      <w:r>
        <w:rPr>
          <w:lang w:val="bg-BG"/>
        </w:rPr>
        <w:t xml:space="preserve">2013 г. </w:t>
      </w:r>
    </w:p>
    <w:p w:rsidR="009B693D" w:rsidRDefault="00C2433C" w:rsidP="00C2433C">
      <w:pPr>
        <w:pStyle w:val="Caption"/>
      </w:pPr>
      <w:bookmarkStart w:id="8" w:name="_Toc45719026"/>
      <w:r>
        <w:t xml:space="preserve">Таблица </w:t>
      </w:r>
      <w:r w:rsidR="00680D95">
        <w:fldChar w:fldCharType="begin"/>
      </w:r>
      <w:r>
        <w:instrText xml:space="preserve"> SEQ Таблица \* ARABIC </w:instrText>
      </w:r>
      <w:r w:rsidR="00680D95">
        <w:fldChar w:fldCharType="separate"/>
      </w:r>
      <w:r w:rsidR="000F1791">
        <w:rPr>
          <w:noProof/>
        </w:rPr>
        <w:t>2</w:t>
      </w:r>
      <w:r w:rsidR="00680D95">
        <w:fldChar w:fldCharType="end"/>
      </w:r>
      <w:r>
        <w:t xml:space="preserve">. </w:t>
      </w:r>
      <w:r w:rsidRPr="005E6676">
        <w:t>Разходи за управление на отпадъците в контекста на разходите за опазване на околната среда в България</w:t>
      </w:r>
      <w:r>
        <w:t xml:space="preserve"> за периода 2014-2018 г.</w:t>
      </w:r>
      <w:bookmarkEnd w:id="8"/>
    </w:p>
    <w:tbl>
      <w:tblPr>
        <w:tblW w:w="9458" w:type="dxa"/>
        <w:jc w:val="center"/>
        <w:tblLayout w:type="fixed"/>
        <w:tblLook w:val="04A0" w:firstRow="1" w:lastRow="0" w:firstColumn="1" w:lastColumn="0" w:noHBand="0" w:noVBand="1"/>
      </w:tblPr>
      <w:tblGrid>
        <w:gridCol w:w="2887"/>
        <w:gridCol w:w="1314"/>
        <w:gridCol w:w="1314"/>
        <w:gridCol w:w="1314"/>
        <w:gridCol w:w="1314"/>
        <w:gridCol w:w="1315"/>
      </w:tblGrid>
      <w:tr w:rsidR="00C2433C" w:rsidRPr="00FA3EB3" w:rsidTr="00FA3EB3">
        <w:trPr>
          <w:trHeight w:val="270"/>
          <w:tblHeader/>
          <w:jc w:val="center"/>
        </w:trPr>
        <w:tc>
          <w:tcPr>
            <w:tcW w:w="288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C2433C" w:rsidRPr="00FA3EB3" w:rsidRDefault="00C2433C" w:rsidP="00C2433C">
            <w:pPr>
              <w:spacing w:after="0"/>
              <w:jc w:val="left"/>
              <w:rPr>
                <w:rFonts w:ascii="Calibri" w:eastAsia="Times New Roman" w:hAnsi="Calibri"/>
                <w:b/>
                <w:bCs/>
                <w:sz w:val="20"/>
                <w:szCs w:val="20"/>
                <w:lang w:val="en-GB" w:eastAsia="en-GB"/>
              </w:rPr>
            </w:pPr>
            <w:r w:rsidRPr="00FA3EB3">
              <w:rPr>
                <w:rFonts w:ascii="Calibri" w:eastAsia="Times New Roman" w:hAnsi="Calibri"/>
                <w:b/>
                <w:bCs/>
                <w:sz w:val="20"/>
                <w:szCs w:val="20"/>
                <w:lang w:eastAsia="en-GB"/>
              </w:rPr>
              <w:t> </w:t>
            </w:r>
          </w:p>
        </w:tc>
        <w:tc>
          <w:tcPr>
            <w:tcW w:w="1314" w:type="dxa"/>
            <w:tcBorders>
              <w:top w:val="single" w:sz="8" w:space="0" w:color="auto"/>
              <w:left w:val="nil"/>
              <w:bottom w:val="single" w:sz="8" w:space="0" w:color="auto"/>
              <w:right w:val="single" w:sz="8" w:space="0" w:color="auto"/>
            </w:tcBorders>
            <w:shd w:val="clear" w:color="auto" w:fill="auto"/>
            <w:noWrap/>
            <w:vAlign w:val="bottom"/>
            <w:hideMark/>
          </w:tcPr>
          <w:p w:rsidR="00C2433C" w:rsidRPr="00FA3EB3" w:rsidRDefault="00C2433C" w:rsidP="00C2433C">
            <w:pPr>
              <w:spacing w:after="0"/>
              <w:jc w:val="center"/>
              <w:rPr>
                <w:rFonts w:ascii="Calibri" w:eastAsia="Times New Roman" w:hAnsi="Calibri"/>
                <w:b/>
                <w:bCs/>
                <w:sz w:val="20"/>
                <w:szCs w:val="20"/>
                <w:lang w:val="en-GB" w:eastAsia="en-GB"/>
              </w:rPr>
            </w:pPr>
            <w:r w:rsidRPr="00FA3EB3">
              <w:rPr>
                <w:rFonts w:ascii="Calibri" w:eastAsia="Times New Roman" w:hAnsi="Calibri"/>
                <w:b/>
                <w:bCs/>
                <w:sz w:val="20"/>
                <w:szCs w:val="20"/>
                <w:lang w:val="en-GB" w:eastAsia="en-GB"/>
              </w:rPr>
              <w:t>2014</w:t>
            </w:r>
          </w:p>
        </w:tc>
        <w:tc>
          <w:tcPr>
            <w:tcW w:w="1314" w:type="dxa"/>
            <w:tcBorders>
              <w:top w:val="single" w:sz="8" w:space="0" w:color="auto"/>
              <w:left w:val="nil"/>
              <w:bottom w:val="single" w:sz="8" w:space="0" w:color="auto"/>
              <w:right w:val="single" w:sz="8" w:space="0" w:color="auto"/>
            </w:tcBorders>
            <w:shd w:val="clear" w:color="auto" w:fill="auto"/>
            <w:noWrap/>
            <w:vAlign w:val="bottom"/>
            <w:hideMark/>
          </w:tcPr>
          <w:p w:rsidR="00C2433C" w:rsidRPr="00FA3EB3" w:rsidRDefault="00C2433C" w:rsidP="00C2433C">
            <w:pPr>
              <w:spacing w:after="0"/>
              <w:jc w:val="center"/>
              <w:rPr>
                <w:rFonts w:ascii="Calibri" w:eastAsia="Times New Roman" w:hAnsi="Calibri"/>
                <w:b/>
                <w:bCs/>
                <w:sz w:val="20"/>
                <w:szCs w:val="20"/>
                <w:lang w:val="en-GB" w:eastAsia="en-GB"/>
              </w:rPr>
            </w:pPr>
            <w:r w:rsidRPr="00FA3EB3">
              <w:rPr>
                <w:rFonts w:ascii="Calibri" w:eastAsia="Times New Roman" w:hAnsi="Calibri"/>
                <w:b/>
                <w:bCs/>
                <w:sz w:val="20"/>
                <w:szCs w:val="20"/>
                <w:lang w:val="en-GB" w:eastAsia="en-GB"/>
              </w:rPr>
              <w:t>2015</w:t>
            </w:r>
          </w:p>
        </w:tc>
        <w:tc>
          <w:tcPr>
            <w:tcW w:w="1314" w:type="dxa"/>
            <w:tcBorders>
              <w:top w:val="single" w:sz="8" w:space="0" w:color="auto"/>
              <w:left w:val="nil"/>
              <w:bottom w:val="single" w:sz="8" w:space="0" w:color="auto"/>
              <w:right w:val="single" w:sz="8" w:space="0" w:color="auto"/>
            </w:tcBorders>
            <w:shd w:val="clear" w:color="auto" w:fill="auto"/>
            <w:noWrap/>
            <w:vAlign w:val="bottom"/>
            <w:hideMark/>
          </w:tcPr>
          <w:p w:rsidR="00C2433C" w:rsidRPr="00FA3EB3" w:rsidRDefault="00C2433C" w:rsidP="00C2433C">
            <w:pPr>
              <w:spacing w:after="0"/>
              <w:jc w:val="center"/>
              <w:rPr>
                <w:rFonts w:ascii="Calibri" w:eastAsia="Times New Roman" w:hAnsi="Calibri"/>
                <w:b/>
                <w:bCs/>
                <w:sz w:val="20"/>
                <w:szCs w:val="20"/>
                <w:lang w:val="en-GB" w:eastAsia="en-GB"/>
              </w:rPr>
            </w:pPr>
            <w:r w:rsidRPr="00FA3EB3">
              <w:rPr>
                <w:rFonts w:ascii="Calibri" w:eastAsia="Times New Roman" w:hAnsi="Calibri"/>
                <w:b/>
                <w:bCs/>
                <w:sz w:val="20"/>
                <w:szCs w:val="20"/>
                <w:lang w:val="en-GB" w:eastAsia="en-GB"/>
              </w:rPr>
              <w:t>2016</w:t>
            </w:r>
          </w:p>
        </w:tc>
        <w:tc>
          <w:tcPr>
            <w:tcW w:w="1314" w:type="dxa"/>
            <w:tcBorders>
              <w:top w:val="single" w:sz="8" w:space="0" w:color="auto"/>
              <w:left w:val="nil"/>
              <w:bottom w:val="single" w:sz="8" w:space="0" w:color="auto"/>
              <w:right w:val="single" w:sz="8" w:space="0" w:color="auto"/>
            </w:tcBorders>
            <w:shd w:val="clear" w:color="auto" w:fill="auto"/>
            <w:noWrap/>
            <w:vAlign w:val="bottom"/>
            <w:hideMark/>
          </w:tcPr>
          <w:p w:rsidR="00C2433C" w:rsidRPr="00FA3EB3" w:rsidRDefault="00C2433C" w:rsidP="00C2433C">
            <w:pPr>
              <w:spacing w:after="0"/>
              <w:jc w:val="center"/>
              <w:rPr>
                <w:rFonts w:ascii="Calibri" w:eastAsia="Times New Roman" w:hAnsi="Calibri"/>
                <w:b/>
                <w:bCs/>
                <w:sz w:val="20"/>
                <w:szCs w:val="20"/>
                <w:lang w:val="en-GB" w:eastAsia="en-GB"/>
              </w:rPr>
            </w:pPr>
            <w:r w:rsidRPr="00FA3EB3">
              <w:rPr>
                <w:rFonts w:ascii="Calibri" w:eastAsia="Times New Roman" w:hAnsi="Calibri"/>
                <w:b/>
                <w:bCs/>
                <w:sz w:val="20"/>
                <w:szCs w:val="20"/>
                <w:lang w:val="en-GB" w:eastAsia="en-GB"/>
              </w:rPr>
              <w:t>2017</w:t>
            </w:r>
          </w:p>
        </w:tc>
        <w:tc>
          <w:tcPr>
            <w:tcW w:w="1315" w:type="dxa"/>
            <w:tcBorders>
              <w:top w:val="single" w:sz="8" w:space="0" w:color="auto"/>
              <w:left w:val="nil"/>
              <w:bottom w:val="single" w:sz="8" w:space="0" w:color="auto"/>
              <w:right w:val="single" w:sz="8" w:space="0" w:color="auto"/>
            </w:tcBorders>
            <w:shd w:val="clear" w:color="auto" w:fill="auto"/>
            <w:noWrap/>
            <w:vAlign w:val="bottom"/>
            <w:hideMark/>
          </w:tcPr>
          <w:p w:rsidR="00C2433C" w:rsidRPr="00FA3EB3" w:rsidRDefault="00C2433C" w:rsidP="00C2433C">
            <w:pPr>
              <w:spacing w:after="0"/>
              <w:jc w:val="center"/>
              <w:rPr>
                <w:rFonts w:ascii="Calibri" w:eastAsia="Times New Roman" w:hAnsi="Calibri"/>
                <w:b/>
                <w:bCs/>
                <w:sz w:val="20"/>
                <w:szCs w:val="20"/>
                <w:lang w:val="en-GB" w:eastAsia="en-GB"/>
              </w:rPr>
            </w:pPr>
            <w:r w:rsidRPr="00FA3EB3">
              <w:rPr>
                <w:rFonts w:ascii="Calibri" w:eastAsia="Times New Roman" w:hAnsi="Calibri"/>
                <w:b/>
                <w:bCs/>
                <w:sz w:val="20"/>
                <w:szCs w:val="20"/>
                <w:lang w:val="en-GB" w:eastAsia="en-GB"/>
              </w:rPr>
              <w:t>2018</w:t>
            </w:r>
          </w:p>
        </w:tc>
      </w:tr>
      <w:tr w:rsidR="009E56C5" w:rsidRPr="00FA3EB3" w:rsidTr="00FA3EB3">
        <w:trPr>
          <w:trHeight w:val="525"/>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Разходи за управление на отпадъците (хил.лв.)</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1 532 055</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1 374 497</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1 068 447</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1 195 919</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1 228 282</w:t>
            </w:r>
          </w:p>
        </w:tc>
      </w:tr>
      <w:tr w:rsidR="009E56C5" w:rsidRPr="00FA3EB3" w:rsidTr="00FA3EB3">
        <w:trPr>
          <w:trHeight w:val="270"/>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B02A02" w:rsidRDefault="009E56C5" w:rsidP="00B02A02">
            <w:pPr>
              <w:spacing w:after="0"/>
              <w:ind w:left="460"/>
              <w:jc w:val="left"/>
              <w:rPr>
                <w:rFonts w:ascii="Calibri" w:eastAsia="Times New Roman" w:hAnsi="Calibri"/>
                <w:sz w:val="20"/>
                <w:szCs w:val="20"/>
                <w:lang w:eastAsia="en-GB"/>
              </w:rPr>
            </w:pPr>
            <w:r w:rsidRPr="00FA3EB3">
              <w:rPr>
                <w:rFonts w:ascii="Calibri" w:eastAsia="Times New Roman" w:hAnsi="Calibri"/>
                <w:sz w:val="20"/>
                <w:szCs w:val="20"/>
                <w:lang w:eastAsia="en-GB"/>
              </w:rPr>
              <w:t>в т.ч. инвестиции (хил.лв.)</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397 458</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588 575</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191 275</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145 645</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127 452</w:t>
            </w:r>
          </w:p>
        </w:tc>
      </w:tr>
      <w:tr w:rsidR="009E56C5" w:rsidRPr="00FA3EB3" w:rsidTr="00FA3EB3">
        <w:trPr>
          <w:trHeight w:val="525"/>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Разходи за опазване на околната среда (хил.лв.)</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3 326 842</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3 064 679</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1 894 958</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1 934 958</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2 036 892</w:t>
            </w:r>
          </w:p>
        </w:tc>
      </w:tr>
      <w:tr w:rsidR="009E56C5" w:rsidRPr="00FA3EB3" w:rsidTr="00FA3EB3">
        <w:trPr>
          <w:trHeight w:val="270"/>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B02A02" w:rsidRDefault="009E56C5" w:rsidP="00B02A02">
            <w:pPr>
              <w:spacing w:after="0"/>
              <w:ind w:left="460"/>
              <w:jc w:val="left"/>
              <w:rPr>
                <w:rFonts w:ascii="Calibri" w:eastAsia="Times New Roman" w:hAnsi="Calibri"/>
                <w:sz w:val="20"/>
                <w:szCs w:val="20"/>
                <w:lang w:eastAsia="en-GB"/>
              </w:rPr>
            </w:pPr>
            <w:r w:rsidRPr="00FA3EB3">
              <w:rPr>
                <w:rFonts w:ascii="Calibri" w:eastAsia="Times New Roman" w:hAnsi="Calibri"/>
                <w:sz w:val="20"/>
                <w:szCs w:val="20"/>
                <w:lang w:eastAsia="en-GB"/>
              </w:rPr>
              <w:t>в т.ч. инвестиции (хил.лв.)</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1 630 147</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1 841 950</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551 747</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459 916</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498 849</w:t>
            </w:r>
          </w:p>
        </w:tc>
      </w:tr>
      <w:tr w:rsidR="009E56C5" w:rsidRPr="00FA3EB3" w:rsidTr="00FA3EB3">
        <w:trPr>
          <w:trHeight w:val="1035"/>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Дял на разходите за управление на отпадъците в разходите за опазване на околната среда</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46,1%</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44,8%</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56,4%</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61,8%</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60,3%</w:t>
            </w:r>
          </w:p>
        </w:tc>
      </w:tr>
      <w:tr w:rsidR="009E56C5" w:rsidRPr="00FA3EB3" w:rsidTr="00FA3EB3">
        <w:trPr>
          <w:trHeight w:val="867"/>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Дял на инвестициите за управление на отпадъците в инвестициите за опазване на околната среда</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24,4%</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32,0%</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34,7%</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31,7%</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25,5%</w:t>
            </w:r>
          </w:p>
        </w:tc>
      </w:tr>
      <w:tr w:rsidR="009E56C5" w:rsidRPr="00FA3EB3" w:rsidTr="00FA3EB3">
        <w:trPr>
          <w:trHeight w:val="1035"/>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Дял на инвестициите за управление на отпадъците в общите разходи за управление на отпадъците</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25,9%</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42,8%</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17,9%</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12,2%</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10,4%</w:t>
            </w:r>
          </w:p>
        </w:tc>
      </w:tr>
      <w:tr w:rsidR="009E56C5" w:rsidRPr="00FA3EB3" w:rsidTr="00FA3EB3">
        <w:trPr>
          <w:trHeight w:val="525"/>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Брутен вътрешен продукт (хил.лв.)</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83 857 173</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89 332 814</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95 091 969</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102 307 942</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109 694 805</w:t>
            </w:r>
          </w:p>
        </w:tc>
      </w:tr>
      <w:tr w:rsidR="009E56C5" w:rsidRPr="00FA3EB3" w:rsidTr="00FA3EB3">
        <w:trPr>
          <w:trHeight w:val="780"/>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Дял на разходите за управление на отпадъците в БВП</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1,83%</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1,54%</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1,12%</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1,17%</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1,12%</w:t>
            </w:r>
          </w:p>
        </w:tc>
      </w:tr>
      <w:tr w:rsidR="009E56C5" w:rsidRPr="00FA3EB3" w:rsidTr="00FA3EB3">
        <w:trPr>
          <w:trHeight w:val="745"/>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Динамика на общо разходите за управление на отпадъците (%, предх.год.=100)</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130,5%</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89,7%</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77,7%</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111,9%</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102,7%</w:t>
            </w:r>
          </w:p>
        </w:tc>
      </w:tr>
      <w:tr w:rsidR="009E56C5" w:rsidRPr="00FA3EB3" w:rsidTr="00FA3EB3">
        <w:trPr>
          <w:trHeight w:val="675"/>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lastRenderedPageBreak/>
              <w:t>Динамика на инвестициите за управление на отпадъците (%, предх.год.=100)</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184,6%</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148,1%</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32,5%</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76,1%</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87,5%</w:t>
            </w:r>
          </w:p>
        </w:tc>
      </w:tr>
      <w:tr w:rsidR="009E56C5" w:rsidRPr="00FA3EB3" w:rsidTr="00FA3EB3">
        <w:trPr>
          <w:trHeight w:val="525"/>
          <w:jc w:val="center"/>
        </w:trPr>
        <w:tc>
          <w:tcPr>
            <w:tcW w:w="2887" w:type="dxa"/>
            <w:tcBorders>
              <w:top w:val="nil"/>
              <w:left w:val="single" w:sz="8" w:space="0" w:color="auto"/>
              <w:bottom w:val="single" w:sz="8" w:space="0" w:color="auto"/>
              <w:right w:val="single" w:sz="8" w:space="0" w:color="auto"/>
            </w:tcBorders>
            <w:shd w:val="clear" w:color="auto" w:fill="auto"/>
            <w:vAlign w:val="bottom"/>
            <w:hideMark/>
          </w:tcPr>
          <w:p w:rsidR="009E56C5" w:rsidRPr="00FA3EB3" w:rsidRDefault="009E56C5" w:rsidP="00C2433C">
            <w:pPr>
              <w:spacing w:after="0"/>
              <w:jc w:val="left"/>
              <w:rPr>
                <w:rFonts w:ascii="Calibri" w:eastAsia="Times New Roman" w:hAnsi="Calibri"/>
                <w:sz w:val="20"/>
                <w:szCs w:val="20"/>
                <w:lang w:val="en-GB" w:eastAsia="en-GB"/>
              </w:rPr>
            </w:pPr>
            <w:r w:rsidRPr="00FA3EB3">
              <w:rPr>
                <w:rFonts w:ascii="Calibri" w:eastAsia="Times New Roman" w:hAnsi="Calibri"/>
                <w:sz w:val="20"/>
                <w:szCs w:val="20"/>
                <w:lang w:eastAsia="en-GB"/>
              </w:rPr>
              <w:t>Динамика на БВП (%, предх.год.=100)</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102,4%</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106,5%</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106,4%</w:t>
            </w:r>
          </w:p>
        </w:tc>
        <w:tc>
          <w:tcPr>
            <w:tcW w:w="1314"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107,6%</w:t>
            </w:r>
          </w:p>
        </w:tc>
        <w:tc>
          <w:tcPr>
            <w:tcW w:w="1315" w:type="dxa"/>
            <w:tcBorders>
              <w:top w:val="nil"/>
              <w:left w:val="nil"/>
              <w:bottom w:val="single" w:sz="8" w:space="0" w:color="auto"/>
              <w:right w:val="single" w:sz="8" w:space="0" w:color="auto"/>
            </w:tcBorders>
            <w:shd w:val="clear" w:color="auto" w:fill="auto"/>
            <w:noWrap/>
            <w:vAlign w:val="bottom"/>
            <w:hideMark/>
          </w:tcPr>
          <w:p w:rsidR="009E56C5" w:rsidRDefault="009E56C5">
            <w:pPr>
              <w:jc w:val="right"/>
              <w:rPr>
                <w:rFonts w:ascii="Calibri" w:hAnsi="Calibri" w:cs="Calibri"/>
                <w:sz w:val="20"/>
                <w:szCs w:val="20"/>
              </w:rPr>
            </w:pPr>
            <w:r>
              <w:rPr>
                <w:rFonts w:ascii="Calibri" w:hAnsi="Calibri" w:cs="Calibri"/>
                <w:sz w:val="20"/>
                <w:szCs w:val="20"/>
              </w:rPr>
              <w:t>107,2%</w:t>
            </w:r>
          </w:p>
        </w:tc>
      </w:tr>
    </w:tbl>
    <w:p w:rsidR="00FA3EB3" w:rsidRPr="00B82A6E" w:rsidRDefault="00FA3EB3" w:rsidP="00FA3EB3">
      <w:pPr>
        <w:jc w:val="center"/>
        <w:rPr>
          <w:i/>
        </w:rPr>
      </w:pPr>
      <w:r w:rsidRPr="00B82A6E">
        <w:rPr>
          <w:i/>
        </w:rPr>
        <w:t>Източник: Национален статистически институт</w:t>
      </w:r>
      <w:r w:rsidR="00B82A6E" w:rsidRPr="00B82A6E">
        <w:rPr>
          <w:i/>
        </w:rPr>
        <w:t xml:space="preserve"> </w:t>
      </w:r>
      <w:r w:rsidR="00B82A6E" w:rsidRPr="00897815">
        <w:rPr>
          <w:i/>
        </w:rPr>
        <w:t>и собствени изчисления</w:t>
      </w:r>
    </w:p>
    <w:p w:rsidR="00513DD4" w:rsidRDefault="00513DD4" w:rsidP="00FA3EB3">
      <w:pPr>
        <w:pStyle w:val="Caption"/>
      </w:pPr>
      <w:bookmarkStart w:id="9" w:name="_Toc45719027"/>
    </w:p>
    <w:p w:rsidR="009B693D" w:rsidRDefault="00FA3EB3" w:rsidP="00FA3EB3">
      <w:pPr>
        <w:pStyle w:val="Caption"/>
      </w:pPr>
      <w:r>
        <w:t xml:space="preserve">Таблица </w:t>
      </w:r>
      <w:r w:rsidR="00680D95">
        <w:fldChar w:fldCharType="begin"/>
      </w:r>
      <w:r>
        <w:instrText xml:space="preserve"> SEQ Таблица \* ARABIC </w:instrText>
      </w:r>
      <w:r w:rsidR="00680D95">
        <w:fldChar w:fldCharType="separate"/>
      </w:r>
      <w:r w:rsidR="000F1791">
        <w:rPr>
          <w:noProof/>
        </w:rPr>
        <w:t>3</w:t>
      </w:r>
      <w:r w:rsidR="00680D95">
        <w:fldChar w:fldCharType="end"/>
      </w:r>
      <w:r>
        <w:t>. Р</w:t>
      </w:r>
      <w:r w:rsidRPr="00FA3EB3">
        <w:t xml:space="preserve">азходи за услуги, свързани с околната среда  </w:t>
      </w:r>
      <w:r w:rsidRPr="005E6676">
        <w:t>в България</w:t>
      </w:r>
      <w:r>
        <w:t xml:space="preserve"> за периода 2014-2018 г.</w:t>
      </w:r>
      <w:r w:rsidR="001D0D29">
        <w:t xml:space="preserve"> (хил.лв.)</w:t>
      </w:r>
      <w:bookmarkEnd w:id="9"/>
    </w:p>
    <w:tbl>
      <w:tblPr>
        <w:tblW w:w="9458" w:type="dxa"/>
        <w:jc w:val="center"/>
        <w:tblLayout w:type="fixed"/>
        <w:tblLook w:val="04A0" w:firstRow="1" w:lastRow="0" w:firstColumn="1" w:lastColumn="0" w:noHBand="0" w:noVBand="1"/>
      </w:tblPr>
      <w:tblGrid>
        <w:gridCol w:w="3454"/>
        <w:gridCol w:w="1200"/>
        <w:gridCol w:w="1201"/>
        <w:gridCol w:w="1201"/>
        <w:gridCol w:w="1201"/>
        <w:gridCol w:w="1201"/>
      </w:tblGrid>
      <w:tr w:rsidR="001D0D29" w:rsidRPr="001D0D29" w:rsidTr="00704606">
        <w:trPr>
          <w:trHeight w:val="270"/>
          <w:tblHeader/>
          <w:jc w:val="center"/>
        </w:trPr>
        <w:tc>
          <w:tcPr>
            <w:tcW w:w="345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D0D29" w:rsidRPr="001D0D29" w:rsidRDefault="001D0D29" w:rsidP="00A501AA">
            <w:pPr>
              <w:spacing w:after="0"/>
              <w:jc w:val="left"/>
              <w:rPr>
                <w:rFonts w:ascii="Calibri" w:eastAsia="Times New Roman" w:hAnsi="Calibri"/>
                <w:b/>
                <w:bCs/>
                <w:sz w:val="20"/>
                <w:szCs w:val="20"/>
                <w:lang w:val="en-GB" w:eastAsia="en-GB"/>
              </w:rPr>
            </w:pPr>
            <w:r w:rsidRPr="001D0D29">
              <w:rPr>
                <w:rFonts w:ascii="Calibri" w:eastAsia="Times New Roman" w:hAnsi="Calibri"/>
                <w:b/>
                <w:bCs/>
                <w:sz w:val="20"/>
                <w:szCs w:val="20"/>
                <w:lang w:eastAsia="en-GB"/>
              </w:rPr>
              <w:t> </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1D0D29" w:rsidRPr="001D0D29" w:rsidRDefault="001D0D29" w:rsidP="00A501AA">
            <w:pPr>
              <w:spacing w:after="0"/>
              <w:jc w:val="center"/>
              <w:rPr>
                <w:rFonts w:ascii="Calibri" w:eastAsia="Times New Roman" w:hAnsi="Calibri"/>
                <w:b/>
                <w:bCs/>
                <w:sz w:val="20"/>
                <w:szCs w:val="20"/>
                <w:lang w:val="en-GB" w:eastAsia="en-GB"/>
              </w:rPr>
            </w:pPr>
            <w:r w:rsidRPr="001D0D29">
              <w:rPr>
                <w:rFonts w:ascii="Calibri" w:eastAsia="Times New Roman" w:hAnsi="Calibri"/>
                <w:b/>
                <w:bCs/>
                <w:sz w:val="20"/>
                <w:szCs w:val="20"/>
                <w:lang w:val="en-GB" w:eastAsia="en-GB"/>
              </w:rPr>
              <w:t>2014</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rsidR="001D0D29" w:rsidRPr="001D0D29" w:rsidRDefault="001D0D29" w:rsidP="00A501AA">
            <w:pPr>
              <w:spacing w:after="0"/>
              <w:jc w:val="center"/>
              <w:rPr>
                <w:rFonts w:ascii="Calibri" w:eastAsia="Times New Roman" w:hAnsi="Calibri"/>
                <w:b/>
                <w:bCs/>
                <w:sz w:val="20"/>
                <w:szCs w:val="20"/>
                <w:lang w:val="en-GB" w:eastAsia="en-GB"/>
              </w:rPr>
            </w:pPr>
            <w:r w:rsidRPr="001D0D29">
              <w:rPr>
                <w:rFonts w:ascii="Calibri" w:eastAsia="Times New Roman" w:hAnsi="Calibri"/>
                <w:b/>
                <w:bCs/>
                <w:sz w:val="20"/>
                <w:szCs w:val="20"/>
                <w:lang w:val="en-GB" w:eastAsia="en-GB"/>
              </w:rPr>
              <w:t>2015</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rsidR="001D0D29" w:rsidRPr="001D0D29" w:rsidRDefault="001D0D29" w:rsidP="00A501AA">
            <w:pPr>
              <w:spacing w:after="0"/>
              <w:jc w:val="center"/>
              <w:rPr>
                <w:rFonts w:ascii="Calibri" w:eastAsia="Times New Roman" w:hAnsi="Calibri"/>
                <w:b/>
                <w:bCs/>
                <w:sz w:val="20"/>
                <w:szCs w:val="20"/>
                <w:lang w:val="en-GB" w:eastAsia="en-GB"/>
              </w:rPr>
            </w:pPr>
            <w:r w:rsidRPr="001D0D29">
              <w:rPr>
                <w:rFonts w:ascii="Calibri" w:eastAsia="Times New Roman" w:hAnsi="Calibri"/>
                <w:b/>
                <w:bCs/>
                <w:sz w:val="20"/>
                <w:szCs w:val="20"/>
                <w:lang w:val="en-GB" w:eastAsia="en-GB"/>
              </w:rPr>
              <w:t>2016</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rsidR="001D0D29" w:rsidRPr="001D0D29" w:rsidRDefault="001D0D29" w:rsidP="00A501AA">
            <w:pPr>
              <w:spacing w:after="0"/>
              <w:jc w:val="center"/>
              <w:rPr>
                <w:rFonts w:ascii="Calibri" w:eastAsia="Times New Roman" w:hAnsi="Calibri"/>
                <w:b/>
                <w:bCs/>
                <w:sz w:val="20"/>
                <w:szCs w:val="20"/>
                <w:lang w:val="en-GB" w:eastAsia="en-GB"/>
              </w:rPr>
            </w:pPr>
            <w:r w:rsidRPr="001D0D29">
              <w:rPr>
                <w:rFonts w:ascii="Calibri" w:eastAsia="Times New Roman" w:hAnsi="Calibri"/>
                <w:b/>
                <w:bCs/>
                <w:sz w:val="20"/>
                <w:szCs w:val="20"/>
                <w:lang w:val="en-GB" w:eastAsia="en-GB"/>
              </w:rPr>
              <w:t>2017</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rsidR="001D0D29" w:rsidRPr="001D0D29" w:rsidRDefault="001D0D29" w:rsidP="00A501AA">
            <w:pPr>
              <w:spacing w:after="0"/>
              <w:jc w:val="center"/>
              <w:rPr>
                <w:rFonts w:ascii="Calibri" w:eastAsia="Times New Roman" w:hAnsi="Calibri"/>
                <w:b/>
                <w:bCs/>
                <w:sz w:val="20"/>
                <w:szCs w:val="20"/>
                <w:lang w:val="en-GB" w:eastAsia="en-GB"/>
              </w:rPr>
            </w:pPr>
            <w:r w:rsidRPr="001D0D29">
              <w:rPr>
                <w:rFonts w:ascii="Calibri" w:eastAsia="Times New Roman" w:hAnsi="Calibri"/>
                <w:b/>
                <w:bCs/>
                <w:sz w:val="20"/>
                <w:szCs w:val="20"/>
                <w:lang w:val="en-GB" w:eastAsia="en-GB"/>
              </w:rPr>
              <w:t>2018</w:t>
            </w:r>
          </w:p>
        </w:tc>
      </w:tr>
      <w:tr w:rsidR="00BA6C75" w:rsidRPr="001D0D29" w:rsidTr="00704606">
        <w:trPr>
          <w:trHeight w:val="525"/>
          <w:jc w:val="center"/>
        </w:trPr>
        <w:tc>
          <w:tcPr>
            <w:tcW w:w="3454" w:type="dxa"/>
            <w:tcBorders>
              <w:top w:val="nil"/>
              <w:left w:val="single" w:sz="8" w:space="0" w:color="auto"/>
              <w:bottom w:val="single" w:sz="8" w:space="0" w:color="auto"/>
              <w:right w:val="single" w:sz="8" w:space="0" w:color="auto"/>
            </w:tcBorders>
            <w:shd w:val="clear" w:color="auto" w:fill="auto"/>
            <w:vAlign w:val="bottom"/>
            <w:hideMark/>
          </w:tcPr>
          <w:p w:rsidR="00BA6C75" w:rsidRPr="008A3561" w:rsidRDefault="00BA6C75" w:rsidP="001D0D29">
            <w:pPr>
              <w:spacing w:after="0"/>
              <w:jc w:val="left"/>
              <w:rPr>
                <w:rFonts w:ascii="Calibri" w:eastAsia="Times New Roman" w:hAnsi="Calibri"/>
                <w:b/>
                <w:sz w:val="20"/>
                <w:szCs w:val="20"/>
                <w:lang w:eastAsia="en-GB"/>
              </w:rPr>
            </w:pPr>
            <w:r w:rsidRPr="008A3561">
              <w:rPr>
                <w:rFonts w:ascii="Calibri" w:eastAsia="Times New Roman" w:hAnsi="Calibri"/>
                <w:b/>
                <w:sz w:val="20"/>
                <w:szCs w:val="20"/>
                <w:lang w:eastAsia="en-GB"/>
              </w:rPr>
              <w:t xml:space="preserve">Разходи за услуги, свързани с околната среда (отвеждане и пречистване на отпадъчни води и обезвреждане на отпадъци, в т.ч. такса </w:t>
            </w:r>
            <w:r w:rsidR="00FC650D">
              <w:rPr>
                <w:rFonts w:ascii="Calibri" w:eastAsia="Times New Roman" w:hAnsi="Calibri"/>
                <w:b/>
                <w:sz w:val="20"/>
                <w:szCs w:val="20"/>
                <w:lang w:eastAsia="en-GB"/>
              </w:rPr>
              <w:t xml:space="preserve">за </w:t>
            </w:r>
            <w:r w:rsidRPr="008A3561">
              <w:rPr>
                <w:rFonts w:ascii="Calibri" w:eastAsia="Times New Roman" w:hAnsi="Calibri"/>
                <w:b/>
                <w:sz w:val="20"/>
                <w:szCs w:val="20"/>
                <w:lang w:eastAsia="en-GB"/>
              </w:rPr>
              <w:t>битови оптпадъци) -общо</w:t>
            </w:r>
          </w:p>
        </w:tc>
        <w:tc>
          <w:tcPr>
            <w:tcW w:w="1200"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684 423</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696 007</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866 764</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748 644</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346 630</w:t>
            </w:r>
          </w:p>
        </w:tc>
      </w:tr>
      <w:tr w:rsidR="00BA6C75" w:rsidRPr="001D0D29" w:rsidTr="00704606">
        <w:trPr>
          <w:trHeight w:val="270"/>
          <w:jc w:val="center"/>
        </w:trPr>
        <w:tc>
          <w:tcPr>
            <w:tcW w:w="3454" w:type="dxa"/>
            <w:tcBorders>
              <w:top w:val="nil"/>
              <w:left w:val="single" w:sz="8" w:space="0" w:color="auto"/>
              <w:bottom w:val="single" w:sz="8" w:space="0" w:color="auto"/>
              <w:right w:val="single" w:sz="8" w:space="0" w:color="auto"/>
            </w:tcBorders>
            <w:shd w:val="clear" w:color="auto" w:fill="auto"/>
            <w:vAlign w:val="bottom"/>
            <w:hideMark/>
          </w:tcPr>
          <w:p w:rsidR="00BA6C75" w:rsidRPr="008A3561" w:rsidRDefault="00BA6C75" w:rsidP="001D0D29">
            <w:pPr>
              <w:spacing w:after="0"/>
              <w:jc w:val="left"/>
              <w:rPr>
                <w:rFonts w:ascii="Calibri" w:eastAsia="Times New Roman" w:hAnsi="Calibri"/>
                <w:b/>
                <w:sz w:val="20"/>
                <w:szCs w:val="20"/>
                <w:lang w:eastAsia="en-GB"/>
              </w:rPr>
            </w:pPr>
            <w:r w:rsidRPr="008A3561">
              <w:rPr>
                <w:rFonts w:ascii="Calibri" w:eastAsia="Times New Roman" w:hAnsi="Calibri"/>
                <w:b/>
                <w:sz w:val="20"/>
                <w:szCs w:val="20"/>
                <w:lang w:eastAsia="en-GB"/>
              </w:rPr>
              <w:t>Общо разходи за услуги, свързани с околната среда в икономиката</w:t>
            </w:r>
          </w:p>
        </w:tc>
        <w:tc>
          <w:tcPr>
            <w:tcW w:w="1200"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372 662</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375 878</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400 216</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384 064</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346 630</w:t>
            </w:r>
          </w:p>
        </w:tc>
      </w:tr>
      <w:tr w:rsidR="00BA6C75" w:rsidRPr="001D0D29" w:rsidTr="00704606">
        <w:trPr>
          <w:trHeight w:val="525"/>
          <w:jc w:val="center"/>
        </w:trPr>
        <w:tc>
          <w:tcPr>
            <w:tcW w:w="3454" w:type="dxa"/>
            <w:tcBorders>
              <w:top w:val="nil"/>
              <w:left w:val="single" w:sz="8" w:space="0" w:color="auto"/>
              <w:bottom w:val="single" w:sz="8" w:space="0" w:color="auto"/>
              <w:right w:val="single" w:sz="8" w:space="0" w:color="auto"/>
            </w:tcBorders>
            <w:shd w:val="clear" w:color="auto" w:fill="auto"/>
            <w:vAlign w:val="bottom"/>
            <w:hideMark/>
          </w:tcPr>
          <w:p w:rsidR="00BA6C75" w:rsidRPr="001D0D29" w:rsidRDefault="00BA6C75" w:rsidP="001D0D29">
            <w:pPr>
              <w:spacing w:after="0"/>
              <w:jc w:val="left"/>
              <w:rPr>
                <w:rFonts w:ascii="Calibri" w:eastAsia="Times New Roman" w:hAnsi="Calibri"/>
                <w:sz w:val="20"/>
                <w:szCs w:val="20"/>
                <w:lang w:eastAsia="en-GB"/>
              </w:rPr>
            </w:pPr>
            <w:r w:rsidRPr="001D0D29">
              <w:rPr>
                <w:rFonts w:ascii="Calibri" w:eastAsia="Times New Roman" w:hAnsi="Calibri"/>
                <w:sz w:val="20"/>
                <w:szCs w:val="20"/>
                <w:lang w:eastAsia="en-GB"/>
              </w:rPr>
              <w:t>Разходи за услуги  (за отвеждане и пречистване на отпадъчни води)</w:t>
            </w:r>
          </w:p>
        </w:tc>
        <w:tc>
          <w:tcPr>
            <w:tcW w:w="1200"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28 636</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29 608</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38 306</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39 338</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35 555</w:t>
            </w:r>
          </w:p>
        </w:tc>
      </w:tr>
      <w:tr w:rsidR="00BA6C75" w:rsidRPr="001D0D29" w:rsidTr="00704606">
        <w:trPr>
          <w:trHeight w:val="270"/>
          <w:jc w:val="center"/>
        </w:trPr>
        <w:tc>
          <w:tcPr>
            <w:tcW w:w="3454" w:type="dxa"/>
            <w:tcBorders>
              <w:top w:val="nil"/>
              <w:left w:val="single" w:sz="8" w:space="0" w:color="auto"/>
              <w:bottom w:val="single" w:sz="8" w:space="0" w:color="auto"/>
              <w:right w:val="single" w:sz="8" w:space="0" w:color="auto"/>
            </w:tcBorders>
            <w:shd w:val="clear" w:color="auto" w:fill="auto"/>
            <w:vAlign w:val="bottom"/>
            <w:hideMark/>
          </w:tcPr>
          <w:p w:rsidR="00BA6C75" w:rsidRPr="001D0D29" w:rsidRDefault="00BA6C75" w:rsidP="001D0D29">
            <w:pPr>
              <w:spacing w:after="0"/>
              <w:jc w:val="left"/>
              <w:rPr>
                <w:rFonts w:ascii="Calibri" w:eastAsia="Times New Roman" w:hAnsi="Calibri"/>
                <w:sz w:val="20"/>
                <w:szCs w:val="20"/>
                <w:lang w:eastAsia="en-GB"/>
              </w:rPr>
            </w:pPr>
            <w:r w:rsidRPr="001D0D29">
              <w:rPr>
                <w:rFonts w:ascii="Calibri" w:eastAsia="Times New Roman" w:hAnsi="Calibri"/>
                <w:sz w:val="20"/>
                <w:szCs w:val="20"/>
                <w:lang w:eastAsia="en-GB"/>
              </w:rPr>
              <w:t xml:space="preserve">Разходи за услуги (за извозване и обезвреждане на отпадъци) </w:t>
            </w:r>
          </w:p>
        </w:tc>
        <w:tc>
          <w:tcPr>
            <w:tcW w:w="1200"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344 026</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346 270</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361 910</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344 726</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sz w:val="20"/>
                <w:szCs w:val="20"/>
              </w:rPr>
            </w:pPr>
            <w:r w:rsidRPr="00BA6C75">
              <w:rPr>
                <w:rFonts w:ascii="Calibri" w:hAnsi="Calibri" w:cs="Calibri"/>
                <w:sz w:val="20"/>
                <w:szCs w:val="20"/>
              </w:rPr>
              <w:t>311 075</w:t>
            </w:r>
          </w:p>
        </w:tc>
      </w:tr>
      <w:tr w:rsidR="00BA6C75" w:rsidRPr="001D0D29" w:rsidTr="00704606">
        <w:trPr>
          <w:trHeight w:val="757"/>
          <w:jc w:val="center"/>
        </w:trPr>
        <w:tc>
          <w:tcPr>
            <w:tcW w:w="3454" w:type="dxa"/>
            <w:tcBorders>
              <w:top w:val="nil"/>
              <w:left w:val="single" w:sz="8" w:space="0" w:color="auto"/>
              <w:bottom w:val="single" w:sz="8" w:space="0" w:color="auto"/>
              <w:right w:val="single" w:sz="8" w:space="0" w:color="auto"/>
            </w:tcBorders>
            <w:shd w:val="clear" w:color="auto" w:fill="auto"/>
            <w:vAlign w:val="bottom"/>
            <w:hideMark/>
          </w:tcPr>
          <w:p w:rsidR="00BA6C75" w:rsidRPr="008A3561" w:rsidRDefault="00BA6C75" w:rsidP="001D0D29">
            <w:pPr>
              <w:spacing w:after="0"/>
              <w:jc w:val="left"/>
              <w:rPr>
                <w:rFonts w:ascii="Calibri" w:eastAsia="Times New Roman" w:hAnsi="Calibri"/>
                <w:b/>
                <w:sz w:val="20"/>
                <w:szCs w:val="20"/>
                <w:lang w:eastAsia="en-GB"/>
              </w:rPr>
            </w:pPr>
            <w:r w:rsidRPr="008A3561">
              <w:rPr>
                <w:rFonts w:ascii="Calibri" w:eastAsia="Times New Roman" w:hAnsi="Calibri"/>
                <w:b/>
                <w:sz w:val="20"/>
                <w:szCs w:val="20"/>
                <w:lang w:eastAsia="en-GB"/>
              </w:rPr>
              <w:t xml:space="preserve">Разходи на домакинствата (за годишна такса </w:t>
            </w:r>
            <w:r w:rsidR="00FC650D">
              <w:rPr>
                <w:rFonts w:ascii="Calibri" w:eastAsia="Times New Roman" w:hAnsi="Calibri"/>
                <w:b/>
                <w:sz w:val="20"/>
                <w:szCs w:val="20"/>
                <w:lang w:eastAsia="en-GB"/>
              </w:rPr>
              <w:t xml:space="preserve">за </w:t>
            </w:r>
            <w:r w:rsidRPr="008A3561">
              <w:rPr>
                <w:rFonts w:ascii="Calibri" w:eastAsia="Times New Roman" w:hAnsi="Calibri"/>
                <w:b/>
                <w:sz w:val="20"/>
                <w:szCs w:val="20"/>
                <w:lang w:eastAsia="en-GB"/>
              </w:rPr>
              <w:t xml:space="preserve">битови отпадъци към общините)  </w:t>
            </w:r>
          </w:p>
        </w:tc>
        <w:tc>
          <w:tcPr>
            <w:tcW w:w="1200"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311 761</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320 129</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466 548</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rPr>
            </w:pPr>
            <w:r w:rsidRPr="00BA6C75">
              <w:rPr>
                <w:rFonts w:ascii="Calibri" w:hAnsi="Calibri" w:cs="Calibri"/>
                <w:b/>
                <w:bCs/>
                <w:sz w:val="20"/>
                <w:szCs w:val="20"/>
              </w:rPr>
              <w:t>364 580</w:t>
            </w:r>
          </w:p>
        </w:tc>
        <w:tc>
          <w:tcPr>
            <w:tcW w:w="1201" w:type="dxa"/>
            <w:tcBorders>
              <w:top w:val="nil"/>
              <w:left w:val="nil"/>
              <w:bottom w:val="single" w:sz="8" w:space="0" w:color="auto"/>
              <w:right w:val="single" w:sz="8" w:space="0" w:color="auto"/>
            </w:tcBorders>
            <w:shd w:val="clear" w:color="auto" w:fill="auto"/>
            <w:noWrap/>
            <w:vAlign w:val="bottom"/>
            <w:hideMark/>
          </w:tcPr>
          <w:p w:rsidR="00BA6C75" w:rsidRPr="00BA6C75" w:rsidRDefault="00BA6C75">
            <w:pPr>
              <w:jc w:val="right"/>
              <w:rPr>
                <w:rFonts w:ascii="Calibri" w:hAnsi="Calibri" w:cs="Calibri"/>
                <w:b/>
                <w:bCs/>
                <w:sz w:val="20"/>
                <w:szCs w:val="20"/>
                <w:lang w:val="en-US"/>
              </w:rPr>
            </w:pPr>
            <w:r>
              <w:rPr>
                <w:rFonts w:ascii="Calibri" w:hAnsi="Calibri" w:cs="Calibri"/>
                <w:b/>
                <w:bCs/>
                <w:sz w:val="20"/>
                <w:szCs w:val="20"/>
                <w:lang w:val="en-US"/>
              </w:rPr>
              <w:t>n/a</w:t>
            </w:r>
          </w:p>
        </w:tc>
      </w:tr>
    </w:tbl>
    <w:p w:rsidR="00A071B7" w:rsidRPr="00B82A6E" w:rsidRDefault="00A071B7" w:rsidP="00A071B7">
      <w:pPr>
        <w:jc w:val="center"/>
        <w:rPr>
          <w:i/>
        </w:rPr>
      </w:pPr>
      <w:r w:rsidRPr="00B82A6E">
        <w:rPr>
          <w:i/>
        </w:rPr>
        <w:t>Източник: Национален статистически институт</w:t>
      </w:r>
      <w:r w:rsidR="00B82A6E">
        <w:rPr>
          <w:i/>
        </w:rPr>
        <w:t xml:space="preserve"> </w:t>
      </w:r>
      <w:r w:rsidR="00B82A6E" w:rsidRPr="00897815">
        <w:rPr>
          <w:i/>
        </w:rPr>
        <w:t>и собствени изчисления</w:t>
      </w:r>
    </w:p>
    <w:p w:rsidR="009B693D" w:rsidRDefault="00A071B7" w:rsidP="0006204E">
      <w:r>
        <w:t>Данните за периода 2014-2018 г. отново показват водещото значение на разходите за управление на отпадъците</w:t>
      </w:r>
      <w:r w:rsidR="0000333C">
        <w:t>. Те</w:t>
      </w:r>
      <w:r w:rsidR="006929F5">
        <w:t xml:space="preserve"> формират около и над половината от</w:t>
      </w:r>
      <w:r>
        <w:t xml:space="preserve"> общите разходи за опазване на околната среда</w:t>
      </w:r>
      <w:r w:rsidR="006929F5">
        <w:t xml:space="preserve"> в страната</w:t>
      </w:r>
      <w:r w:rsidR="0000333C">
        <w:t>, като делът им нараства в края на анализирания период</w:t>
      </w:r>
      <w:r>
        <w:t>.</w:t>
      </w:r>
      <w:r w:rsidR="0000333C">
        <w:t xml:space="preserve"> Нараства и делът на разходите за управление на отпадъците в БВП. </w:t>
      </w:r>
    </w:p>
    <w:p w:rsidR="0000333C" w:rsidRDefault="0000333C" w:rsidP="0006204E">
      <w:r>
        <w:t xml:space="preserve">В отделни години динамиката на разходите за управление на отпадъците се влияе от плащанията по ОПОС - 2014 и 2015 г., когато абсолютният размер на инвестициите и делът им в общите разходи за управление на отпадъци е по-висок. </w:t>
      </w:r>
      <w:r w:rsidR="00FA6A57">
        <w:t xml:space="preserve">Като </w:t>
      </w:r>
      <w:r>
        <w:t>цяло обаче разходите за управление на отпадъците има</w:t>
      </w:r>
      <w:r w:rsidR="00FA6A57">
        <w:t>т преобладаващо текущ характер</w:t>
      </w:r>
      <w:r w:rsidR="00FA6A57">
        <w:rPr>
          <w:lang w:val="en-US"/>
        </w:rPr>
        <w:t xml:space="preserve"> </w:t>
      </w:r>
      <w:r w:rsidR="00FA6A57">
        <w:t xml:space="preserve">подобно на </w:t>
      </w:r>
      <w:r>
        <w:t>периода 2008-2013 г.</w:t>
      </w:r>
    </w:p>
    <w:p w:rsidR="0000333C" w:rsidRDefault="003C0C4D" w:rsidP="0006204E">
      <w:r>
        <w:t>Разходите за услуги</w:t>
      </w:r>
      <w:r w:rsidR="00FA6A57">
        <w:t>,</w:t>
      </w:r>
      <w:r>
        <w:t xml:space="preserve"> свързани с отпадъците</w:t>
      </w:r>
      <w:r w:rsidR="00FA6A57">
        <w:t>,</w:t>
      </w:r>
      <w:r>
        <w:t xml:space="preserve"> формират </w:t>
      </w:r>
      <w:r w:rsidR="006937B1">
        <w:t>около 90-95% от разходите за услуги, свързани с околната среда.</w:t>
      </w:r>
    </w:p>
    <w:p w:rsidR="00F85B6C" w:rsidRDefault="000B290E" w:rsidP="0006204E">
      <w:r w:rsidRPr="000B290E">
        <w:t>Основните сектори, в които се извършват разходи по управлението на отпадъците</w:t>
      </w:r>
      <w:r w:rsidR="003239A2">
        <w:t>,</w:t>
      </w:r>
      <w:r w:rsidRPr="000B290E">
        <w:t xml:space="preserve"> са индустрията и публичния сектор</w:t>
      </w:r>
      <w:r>
        <w:t xml:space="preserve"> </w:t>
      </w:r>
      <w:r w:rsidRPr="000B290E">
        <w:t>(управление на битовите отпадъци от страна на общините)</w:t>
      </w:r>
      <w:r w:rsidR="0065276C">
        <w:t xml:space="preserve"> (вж. следващата таблица)</w:t>
      </w:r>
      <w:r>
        <w:t>.</w:t>
      </w:r>
      <w:r w:rsidRPr="000B290E">
        <w:t xml:space="preserve"> Сумарно на тях се падат 98-99% от общите разходи за управление на отпадъците в страната. В рамките на индустрията с най-голямо значение са т.нар. специализирани производители на еко услуги – организациите по оползотворяване на отпадъци, на които се падат средно около 70% от разходите по управление на отпадъците в рамките на индустрията.</w:t>
      </w:r>
      <w:r w:rsidR="0065276C">
        <w:t xml:space="preserve"> Ако към разходите на публичния сектор в следващата таблица се прибавят и разходите за услуги по отпадъците (които от 2014 г. се отчитат отделно), то делът на публичния сектор ще нарастне за сметка на този на индустрията.</w:t>
      </w:r>
    </w:p>
    <w:p w:rsidR="00F85B6C" w:rsidRDefault="00F85B6C" w:rsidP="0006204E">
      <w:pPr>
        <w:sectPr w:rsidR="00F85B6C" w:rsidSect="001C0F3B">
          <w:headerReference w:type="default" r:id="rId11"/>
          <w:pgSz w:w="11906" w:h="16838" w:code="9"/>
          <w:pgMar w:top="1417" w:right="1417" w:bottom="1417" w:left="1417" w:header="708" w:footer="0" w:gutter="0"/>
          <w:cols w:space="708"/>
          <w:docGrid w:linePitch="360"/>
        </w:sectPr>
      </w:pPr>
    </w:p>
    <w:p w:rsidR="00F85B6C" w:rsidRDefault="00F85B6C" w:rsidP="0006204E"/>
    <w:p w:rsidR="00F85B6C" w:rsidRDefault="00F85B6C" w:rsidP="0006204E"/>
    <w:p w:rsidR="00F85B6C" w:rsidRDefault="00F85B6C" w:rsidP="00F85B6C">
      <w:pPr>
        <w:pStyle w:val="Caption"/>
      </w:pPr>
      <w:bookmarkStart w:id="10" w:name="_Toc45719028"/>
      <w:r>
        <w:t xml:space="preserve">Таблица </w:t>
      </w:r>
      <w:r w:rsidR="00680D95">
        <w:fldChar w:fldCharType="begin"/>
      </w:r>
      <w:r>
        <w:instrText xml:space="preserve"> SEQ Таблица \* ARABIC </w:instrText>
      </w:r>
      <w:r w:rsidR="00680D95">
        <w:fldChar w:fldCharType="separate"/>
      </w:r>
      <w:r w:rsidR="000F1791">
        <w:rPr>
          <w:noProof/>
        </w:rPr>
        <w:t>4</w:t>
      </w:r>
      <w:r w:rsidR="00680D95">
        <w:fldChar w:fldCharType="end"/>
      </w:r>
      <w:r>
        <w:t xml:space="preserve">. </w:t>
      </w:r>
      <w:r w:rsidRPr="00F85B6C">
        <w:t>Разходи за управление на отпадъците по икономически дейности в България</w:t>
      </w:r>
      <w:r w:rsidR="00310D3C">
        <w:t xml:space="preserve"> за периода 2009-2018 г.</w:t>
      </w:r>
      <w:bookmarkEnd w:id="10"/>
    </w:p>
    <w:tbl>
      <w:tblPr>
        <w:tblW w:w="15026" w:type="dxa"/>
        <w:tblInd w:w="-459" w:type="dxa"/>
        <w:tblLayout w:type="fixed"/>
        <w:tblLook w:val="04A0" w:firstRow="1" w:lastRow="0" w:firstColumn="1" w:lastColumn="0" w:noHBand="0" w:noVBand="1"/>
      </w:tblPr>
      <w:tblGrid>
        <w:gridCol w:w="3119"/>
        <w:gridCol w:w="1190"/>
        <w:gridCol w:w="1191"/>
        <w:gridCol w:w="1191"/>
        <w:gridCol w:w="1190"/>
        <w:gridCol w:w="1191"/>
        <w:gridCol w:w="1191"/>
        <w:gridCol w:w="1190"/>
        <w:gridCol w:w="1191"/>
        <w:gridCol w:w="1191"/>
        <w:gridCol w:w="1191"/>
      </w:tblGrid>
      <w:tr w:rsidR="00F85B6C" w:rsidRPr="003239A2" w:rsidTr="003239A2">
        <w:trPr>
          <w:trHeight w:val="25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5B6C" w:rsidRPr="003239A2" w:rsidRDefault="00F85B6C"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 </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eastAsia="en-GB"/>
              </w:rPr>
              <w:t>2009</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eastAsia="en-GB"/>
              </w:rPr>
              <w:t>2010</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eastAsia="en-GB"/>
              </w:rPr>
              <w:t>2011</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eastAsia="en-GB"/>
              </w:rPr>
              <w:t>2012</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val="en-GB" w:eastAsia="en-GB"/>
              </w:rPr>
              <w:t>2013</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val="en-GB" w:eastAsia="en-GB"/>
              </w:rPr>
              <w:t>2014</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val="en-GB" w:eastAsia="en-GB"/>
              </w:rPr>
              <w:t>2015</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val="en-GB" w:eastAsia="en-GB"/>
              </w:rPr>
              <w:t>2016</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val="en-GB" w:eastAsia="en-GB"/>
              </w:rPr>
              <w:t>2017</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F85B6C" w:rsidRPr="003239A2" w:rsidRDefault="00F85B6C" w:rsidP="00F85B6C">
            <w:pPr>
              <w:spacing w:after="0"/>
              <w:jc w:val="center"/>
              <w:rPr>
                <w:rFonts w:ascii="Calibri" w:eastAsia="Times New Roman" w:hAnsi="Calibri"/>
                <w:b/>
                <w:bCs/>
                <w:sz w:val="20"/>
                <w:szCs w:val="20"/>
                <w:lang w:val="en-GB" w:eastAsia="en-GB"/>
              </w:rPr>
            </w:pPr>
            <w:r w:rsidRPr="003239A2">
              <w:rPr>
                <w:rFonts w:ascii="Calibri" w:eastAsia="Times New Roman" w:hAnsi="Calibri"/>
                <w:b/>
                <w:bCs/>
                <w:sz w:val="20"/>
                <w:szCs w:val="20"/>
                <w:lang w:val="en-GB" w:eastAsia="en-GB"/>
              </w:rPr>
              <w:t>2018</w:t>
            </w:r>
          </w:p>
        </w:tc>
      </w:tr>
      <w:tr w:rsidR="00731670" w:rsidRPr="003239A2" w:rsidTr="003239A2">
        <w:trPr>
          <w:trHeight w:val="5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b/>
                <w:bCs/>
                <w:sz w:val="20"/>
                <w:szCs w:val="20"/>
                <w:lang w:val="en-GB" w:eastAsia="en-GB"/>
              </w:rPr>
            </w:pPr>
            <w:r w:rsidRPr="003239A2">
              <w:rPr>
                <w:rFonts w:ascii="Calibri" w:eastAsia="Times New Roman" w:hAnsi="Calibri"/>
                <w:b/>
                <w:bCs/>
                <w:sz w:val="20"/>
                <w:szCs w:val="20"/>
                <w:lang w:eastAsia="en-GB"/>
              </w:rPr>
              <w:t>Всичко разходи за управление на отпадъците (хил.лв.)</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540 974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677 371</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749 118</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1 078 291</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1 174 316</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1 532 055</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1 374 497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1 068 447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1 195 919</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1 228 282</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Селско, горско и рибно стопанство (хил.лв.)</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82</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524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64</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1 714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436</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102 953</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46 045</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42 780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51 455</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33 220</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Индустрия и строителство (хил.лв.)</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252 797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409 669</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425 547</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538 110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583 340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538 345</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458 334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482 767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565 530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548 259</w:t>
            </w:r>
          </w:p>
        </w:tc>
      </w:tr>
      <w:tr w:rsidR="00731670" w:rsidRPr="003239A2" w:rsidTr="003239A2">
        <w:trPr>
          <w:trHeight w:val="510"/>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Други дейности (в т.ч. държавно управление) (хил.лв.)</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288 095</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267 178</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323 507</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538 467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590 540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890 757</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870 118</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542 900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578 934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646 803</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rsidR="00731670" w:rsidRPr="003239A2" w:rsidRDefault="00731670" w:rsidP="00F85B6C">
            <w:pPr>
              <w:spacing w:after="0"/>
              <w:jc w:val="left"/>
              <w:rPr>
                <w:rFonts w:ascii="Calibri" w:eastAsia="Times New Roman" w:hAnsi="Calibri"/>
                <w:b/>
                <w:bCs/>
                <w:i/>
                <w:iCs/>
                <w:sz w:val="20"/>
                <w:szCs w:val="20"/>
                <w:lang w:val="en-GB" w:eastAsia="en-GB"/>
              </w:rPr>
            </w:pPr>
            <w:r w:rsidRPr="003239A2">
              <w:rPr>
                <w:rFonts w:ascii="Calibri" w:eastAsia="Times New Roman" w:hAnsi="Calibri"/>
                <w:b/>
                <w:bCs/>
                <w:i/>
                <w:iCs/>
                <w:sz w:val="20"/>
                <w:szCs w:val="20"/>
                <w:lang w:eastAsia="en-GB"/>
              </w:rPr>
              <w:t>Структура (%)</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b/>
                <w:bCs/>
                <w:sz w:val="20"/>
                <w:szCs w:val="20"/>
                <w:lang w:val="en-GB" w:eastAsia="en-GB"/>
              </w:rPr>
            </w:pPr>
            <w:r w:rsidRPr="003239A2">
              <w:rPr>
                <w:rFonts w:ascii="Calibri" w:eastAsia="Times New Roman" w:hAnsi="Calibri"/>
                <w:b/>
                <w:bCs/>
                <w:sz w:val="20"/>
                <w:szCs w:val="20"/>
                <w:lang w:eastAsia="en-GB"/>
              </w:rPr>
              <w:t>Всичко разходи за управление на отпадъците</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Селско, горско и рибно стопанство</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0,1%</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0,0%</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0,2%</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6,7%</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3,3%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2,7%</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 xml:space="preserve">Индустрия и строителство </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46,7%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60,5%</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56,8%</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49,9%</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49,7%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35,1%</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33,3%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45,2%</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47,3%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44,6%</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Други дейности (в т.ч. държавно управление)</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53,3%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39,4%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43,2%</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49,9%</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50,3%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58,1%</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63,3%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50,8%</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48,4%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52,7%</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rsidR="00731670" w:rsidRPr="003239A2" w:rsidRDefault="00731670" w:rsidP="00F85B6C">
            <w:pPr>
              <w:spacing w:after="0"/>
              <w:jc w:val="left"/>
              <w:rPr>
                <w:rFonts w:ascii="Calibri" w:eastAsia="Times New Roman" w:hAnsi="Calibri"/>
                <w:b/>
                <w:bCs/>
                <w:i/>
                <w:iCs/>
                <w:sz w:val="20"/>
                <w:szCs w:val="20"/>
                <w:lang w:val="en-GB" w:eastAsia="en-GB"/>
              </w:rPr>
            </w:pPr>
            <w:r w:rsidRPr="003239A2">
              <w:rPr>
                <w:rFonts w:ascii="Calibri" w:eastAsia="Times New Roman" w:hAnsi="Calibri"/>
                <w:b/>
                <w:bCs/>
                <w:i/>
                <w:iCs/>
                <w:sz w:val="20"/>
                <w:szCs w:val="20"/>
                <w:lang w:eastAsia="en-GB"/>
              </w:rPr>
              <w:t>Динамика (%, предх.год.=100)</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rPr>
                <w:rFonts w:cstheme="minorHAnsi"/>
                <w:sz w:val="20"/>
                <w:szCs w:val="20"/>
              </w:rPr>
            </w:pPr>
            <w:r w:rsidRPr="003239A2">
              <w:rPr>
                <w:rFonts w:cstheme="minorHAnsi"/>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rPr>
                <w:rFonts w:cstheme="minorHAnsi"/>
                <w:sz w:val="20"/>
                <w:szCs w:val="20"/>
              </w:rPr>
            </w:pPr>
            <w:r w:rsidRPr="003239A2">
              <w:rPr>
                <w:rFonts w:cstheme="minorHAnsi"/>
                <w:sz w:val="20"/>
                <w:szCs w:val="20"/>
              </w:rPr>
              <w:t> </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rPr>
                <w:rFonts w:cstheme="minorHAnsi"/>
                <w:sz w:val="20"/>
                <w:szCs w:val="20"/>
              </w:rPr>
            </w:pPr>
            <w:r w:rsidRPr="003239A2">
              <w:rPr>
                <w:rFonts w:cstheme="minorHAnsi"/>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rPr>
                <w:rFonts w:cstheme="minorHAnsi"/>
                <w:sz w:val="20"/>
                <w:szCs w:val="20"/>
              </w:rPr>
            </w:pPr>
            <w:r w:rsidRPr="003239A2">
              <w:rPr>
                <w:rFonts w:cstheme="minorHAnsi"/>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rPr>
                <w:rFonts w:cstheme="minorHAnsi"/>
                <w:sz w:val="20"/>
                <w:szCs w:val="20"/>
              </w:rPr>
            </w:pPr>
            <w:r w:rsidRPr="003239A2">
              <w:rPr>
                <w:rFonts w:cstheme="minorHAnsi"/>
                <w:sz w:val="20"/>
                <w:szCs w:val="20"/>
              </w:rPr>
              <w:t> </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rPr>
                <w:rFonts w:cstheme="minorHAnsi"/>
                <w:sz w:val="20"/>
                <w:szCs w:val="20"/>
              </w:rPr>
            </w:pPr>
            <w:r w:rsidRPr="003239A2">
              <w:rPr>
                <w:rFonts w:cstheme="minorHAnsi"/>
                <w:sz w:val="20"/>
                <w:szCs w:val="20"/>
              </w:rPr>
              <w:t> </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b/>
                <w:bCs/>
                <w:sz w:val="20"/>
                <w:szCs w:val="20"/>
                <w:lang w:val="en-GB" w:eastAsia="en-GB"/>
              </w:rPr>
            </w:pPr>
            <w:r w:rsidRPr="003239A2">
              <w:rPr>
                <w:rFonts w:ascii="Calibri" w:eastAsia="Times New Roman" w:hAnsi="Calibri"/>
                <w:b/>
                <w:bCs/>
                <w:sz w:val="20"/>
                <w:szCs w:val="20"/>
                <w:lang w:eastAsia="en-GB"/>
              </w:rPr>
              <w:t>Всичко разходи за управление на отпадъците</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125,2%</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110,6%</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143,9%</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108,9%</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130,5%</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89,7%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77,7%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111,9%</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b/>
                <w:bCs/>
                <w:sz w:val="20"/>
                <w:szCs w:val="20"/>
              </w:rPr>
            </w:pPr>
            <w:r w:rsidRPr="003239A2">
              <w:rPr>
                <w:rFonts w:cstheme="minorHAnsi"/>
                <w:b/>
                <w:bCs/>
                <w:sz w:val="20"/>
                <w:szCs w:val="20"/>
              </w:rPr>
              <w:t>102,7%</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Селско, горско и рибно стопанство</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639,0%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12,2%</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2678,1%</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25,4%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23613,1%</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44,7%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92,9%</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120,3%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64,6%</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Индустрия и строителство</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162,1%</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103,9%</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126,5%</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108,4%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92,3%</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85,1%</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105,3%</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117,1%</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96,9%</w:t>
            </w:r>
          </w:p>
        </w:tc>
      </w:tr>
      <w:tr w:rsidR="00731670" w:rsidRPr="003239A2" w:rsidTr="003239A2">
        <w:trPr>
          <w:trHeight w:val="255"/>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731670" w:rsidRPr="003239A2" w:rsidRDefault="00731670" w:rsidP="00F85B6C">
            <w:pPr>
              <w:spacing w:after="0"/>
              <w:jc w:val="left"/>
              <w:rPr>
                <w:rFonts w:ascii="Calibri" w:eastAsia="Times New Roman" w:hAnsi="Calibri"/>
                <w:sz w:val="20"/>
                <w:szCs w:val="20"/>
                <w:lang w:val="en-GB" w:eastAsia="en-GB"/>
              </w:rPr>
            </w:pPr>
            <w:r w:rsidRPr="003239A2">
              <w:rPr>
                <w:rFonts w:ascii="Calibri" w:eastAsia="Times New Roman" w:hAnsi="Calibri"/>
                <w:sz w:val="20"/>
                <w:szCs w:val="20"/>
                <w:lang w:eastAsia="en-GB"/>
              </w:rPr>
              <w:t>Други дейности (в т.ч. държавно управление)</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100,0%</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92,7%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121,1%</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166,4%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109,7%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150,8%</w:t>
            </w:r>
          </w:p>
        </w:tc>
        <w:tc>
          <w:tcPr>
            <w:tcW w:w="1190"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97,7%</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62,4%</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106,6%</w:t>
            </w:r>
          </w:p>
        </w:tc>
        <w:tc>
          <w:tcPr>
            <w:tcW w:w="1191" w:type="dxa"/>
            <w:tcBorders>
              <w:top w:val="nil"/>
              <w:left w:val="nil"/>
              <w:bottom w:val="single" w:sz="4" w:space="0" w:color="auto"/>
              <w:right w:val="single" w:sz="4" w:space="0" w:color="auto"/>
            </w:tcBorders>
            <w:shd w:val="clear" w:color="auto" w:fill="auto"/>
            <w:noWrap/>
            <w:vAlign w:val="bottom"/>
            <w:hideMark/>
          </w:tcPr>
          <w:p w:rsidR="00731670" w:rsidRPr="003239A2" w:rsidRDefault="00731670">
            <w:pPr>
              <w:jc w:val="center"/>
              <w:rPr>
                <w:rFonts w:cstheme="minorHAnsi"/>
                <w:sz w:val="20"/>
                <w:szCs w:val="20"/>
              </w:rPr>
            </w:pPr>
            <w:r w:rsidRPr="003239A2">
              <w:rPr>
                <w:rFonts w:cstheme="minorHAnsi"/>
                <w:sz w:val="20"/>
                <w:szCs w:val="20"/>
              </w:rPr>
              <w:t>111,7%</w:t>
            </w:r>
          </w:p>
        </w:tc>
      </w:tr>
    </w:tbl>
    <w:p w:rsidR="00F85B6C" w:rsidRPr="00B82A6E" w:rsidRDefault="00F85B6C" w:rsidP="00F85B6C">
      <w:pPr>
        <w:jc w:val="center"/>
        <w:rPr>
          <w:i/>
        </w:rPr>
      </w:pPr>
      <w:r w:rsidRPr="00B82A6E">
        <w:rPr>
          <w:i/>
        </w:rPr>
        <w:t>Източник: Национален статистически институт</w:t>
      </w:r>
      <w:r w:rsidR="00B82A6E" w:rsidRPr="00B82A6E">
        <w:rPr>
          <w:i/>
        </w:rPr>
        <w:t xml:space="preserve"> и собствени изчисления</w:t>
      </w:r>
    </w:p>
    <w:p w:rsidR="00F85B6C" w:rsidRPr="00B82A6E" w:rsidRDefault="00F85B6C" w:rsidP="0006204E">
      <w:pPr>
        <w:rPr>
          <w:i/>
        </w:rPr>
        <w:sectPr w:rsidR="00F85B6C" w:rsidRPr="00B82A6E" w:rsidSect="00F85B6C">
          <w:pgSz w:w="16838" w:h="11906" w:orient="landscape" w:code="9"/>
          <w:pgMar w:top="1417" w:right="1417" w:bottom="1417" w:left="1417" w:header="708" w:footer="0" w:gutter="0"/>
          <w:cols w:space="708"/>
          <w:docGrid w:linePitch="360"/>
        </w:sectPr>
      </w:pPr>
    </w:p>
    <w:p w:rsidR="00F85B6C" w:rsidRPr="00F912D8" w:rsidRDefault="00F912D8" w:rsidP="00F912D8">
      <w:pPr>
        <w:pStyle w:val="1"/>
      </w:pPr>
      <w:bookmarkStart w:id="11" w:name="_Toc45718795"/>
      <w:bookmarkStart w:id="12" w:name="_Toc68855849"/>
      <w:r w:rsidRPr="00F912D8">
        <w:lastRenderedPageBreak/>
        <w:t>Финансиране на разходите за управление на отпадъците в българия</w:t>
      </w:r>
      <w:bookmarkEnd w:id="11"/>
      <w:bookmarkEnd w:id="12"/>
    </w:p>
    <w:p w:rsidR="00EF1652" w:rsidRPr="00EF1652" w:rsidRDefault="00EF1652" w:rsidP="00EA3862">
      <w:pPr>
        <w:pStyle w:val="2"/>
        <w:jc w:val="both"/>
      </w:pPr>
      <w:bookmarkStart w:id="13" w:name="_Toc45718796"/>
      <w:bookmarkStart w:id="14" w:name="_Toc68855850"/>
      <w:r>
        <w:t>Финансиране на разходите за управление на отпадъците в периода 2008-2013 г.</w:t>
      </w:r>
      <w:bookmarkEnd w:id="13"/>
      <w:bookmarkEnd w:id="14"/>
    </w:p>
    <w:p w:rsidR="000753E8" w:rsidRDefault="009B48C8" w:rsidP="0006204E">
      <w:r>
        <w:t>Както бе посочено по-горе, от 2014 г. НСИ прилага нова методология при отчитането на разходите за опазване на околната среда</w:t>
      </w:r>
      <w:r w:rsidR="003239A2">
        <w:t>,</w:t>
      </w:r>
      <w:r>
        <w:t xml:space="preserve"> в т.ч</w:t>
      </w:r>
      <w:r w:rsidR="00733847">
        <w:t>. и за управление на отпадъците, което налага разделянето на анализирания период на два под-периода 2008-2013 г. и 2014-2020 г.</w:t>
      </w:r>
    </w:p>
    <w:p w:rsidR="00733847" w:rsidRDefault="00E23F19" w:rsidP="00E23F19">
      <w:pPr>
        <w:pStyle w:val="Caption"/>
      </w:pPr>
      <w:bookmarkStart w:id="15" w:name="_Toc45719049"/>
      <w:r>
        <w:t xml:space="preserve">Фигура </w:t>
      </w:r>
      <w:r w:rsidR="00680D95">
        <w:fldChar w:fldCharType="begin"/>
      </w:r>
      <w:r>
        <w:instrText xml:space="preserve"> SEQ Фигура \* ARABIC </w:instrText>
      </w:r>
      <w:r w:rsidR="00680D95">
        <w:fldChar w:fldCharType="separate"/>
      </w:r>
      <w:r w:rsidR="00475523">
        <w:rPr>
          <w:noProof/>
        </w:rPr>
        <w:t>1</w:t>
      </w:r>
      <w:r w:rsidR="00680D95">
        <w:fldChar w:fldCharType="end"/>
      </w:r>
      <w:r>
        <w:t xml:space="preserve">. </w:t>
      </w:r>
      <w:r w:rsidRPr="00E23F19">
        <w:t>Структура на източниците на финансиране на оперативните разходи в управлението на отпадъците</w:t>
      </w:r>
      <w:r w:rsidR="00A0219D">
        <w:t xml:space="preserve"> в периода 2009</w:t>
      </w:r>
      <w:r w:rsidR="00C671B1">
        <w:t>-2013 г.</w:t>
      </w:r>
      <w:bookmarkEnd w:id="15"/>
    </w:p>
    <w:p w:rsidR="00C671B1" w:rsidRDefault="00386AE7" w:rsidP="0006204E">
      <w:r w:rsidRPr="00386AE7">
        <w:rPr>
          <w:noProof/>
          <w:lang w:val="en-US"/>
        </w:rPr>
        <w:drawing>
          <wp:inline distT="0" distB="0" distL="0" distR="0" wp14:anchorId="02242C0C" wp14:editId="40BA6FEC">
            <wp:extent cx="5760720" cy="3796167"/>
            <wp:effectExtent l="19050" t="0" r="1143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671B1" w:rsidRPr="00B82A6E" w:rsidRDefault="00386AE7" w:rsidP="00386AE7">
      <w:pPr>
        <w:jc w:val="center"/>
        <w:rPr>
          <w:i/>
        </w:rPr>
      </w:pPr>
      <w:r w:rsidRPr="00B82A6E">
        <w:rPr>
          <w:i/>
        </w:rPr>
        <w:t>Източник: Национален статистически институт</w:t>
      </w:r>
      <w:r w:rsidR="00B82A6E" w:rsidRPr="00B82A6E">
        <w:rPr>
          <w:i/>
        </w:rPr>
        <w:t xml:space="preserve"> и собствени изчисления</w:t>
      </w:r>
    </w:p>
    <w:p w:rsidR="00C671B1" w:rsidRDefault="00C671B1" w:rsidP="0006204E"/>
    <w:p w:rsidR="00C671B1" w:rsidRDefault="00C671B1" w:rsidP="00C671B1">
      <w:pPr>
        <w:pStyle w:val="Caption"/>
      </w:pPr>
      <w:bookmarkStart w:id="16" w:name="_Toc45719050"/>
      <w:r>
        <w:lastRenderedPageBreak/>
        <w:t xml:space="preserve">Фигура </w:t>
      </w:r>
      <w:r w:rsidR="00680D95">
        <w:fldChar w:fldCharType="begin"/>
      </w:r>
      <w:r>
        <w:instrText xml:space="preserve"> SEQ Фигура \* ARABIC </w:instrText>
      </w:r>
      <w:r w:rsidR="00680D95">
        <w:fldChar w:fldCharType="separate"/>
      </w:r>
      <w:r w:rsidR="00475523">
        <w:rPr>
          <w:noProof/>
        </w:rPr>
        <w:t>2</w:t>
      </w:r>
      <w:r w:rsidR="00680D95">
        <w:fldChar w:fldCharType="end"/>
      </w:r>
      <w:r>
        <w:t xml:space="preserve">. </w:t>
      </w:r>
      <w:r w:rsidRPr="00E23F19">
        <w:t xml:space="preserve">Структура на източниците на финансиране на </w:t>
      </w:r>
      <w:r>
        <w:t>инвестиционните</w:t>
      </w:r>
      <w:r w:rsidRPr="00E23F19">
        <w:t xml:space="preserve"> разходи в управлението на отпадъците</w:t>
      </w:r>
      <w:r>
        <w:t xml:space="preserve"> в периода 2008-2013 г.</w:t>
      </w:r>
      <w:bookmarkEnd w:id="16"/>
    </w:p>
    <w:p w:rsidR="00E23F19" w:rsidRDefault="00C671B1" w:rsidP="0006204E">
      <w:r w:rsidRPr="00C671B1">
        <w:rPr>
          <w:noProof/>
          <w:lang w:val="en-US"/>
        </w:rPr>
        <w:drawing>
          <wp:inline distT="0" distB="0" distL="0" distR="0" wp14:anchorId="4B6486FB" wp14:editId="6A9B1848">
            <wp:extent cx="5760720" cy="3300720"/>
            <wp:effectExtent l="19050" t="0" r="1143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23F19" w:rsidRPr="00B82A6E" w:rsidRDefault="0010320D" w:rsidP="0010320D">
      <w:pPr>
        <w:jc w:val="center"/>
        <w:rPr>
          <w:i/>
        </w:rPr>
      </w:pPr>
      <w:r w:rsidRPr="00B82A6E">
        <w:rPr>
          <w:i/>
        </w:rPr>
        <w:t>Източник: Национален статистически институт</w:t>
      </w:r>
      <w:r w:rsidR="00B82A6E" w:rsidRPr="00B82A6E">
        <w:rPr>
          <w:i/>
        </w:rPr>
        <w:t xml:space="preserve"> и собствени изчисления</w:t>
      </w:r>
    </w:p>
    <w:p w:rsidR="00852E05" w:rsidRPr="00852E05" w:rsidRDefault="00852E05" w:rsidP="00852E05">
      <w:r w:rsidRPr="00852E05">
        <w:t xml:space="preserve">Оперативните разходи в управлението на отпадъците се поделят между организациите по оползотворяване на отпадъците и общините (за управлението на битовите отпадъци). </w:t>
      </w:r>
    </w:p>
    <w:p w:rsidR="00852E05" w:rsidRPr="00852E05" w:rsidRDefault="00852E05" w:rsidP="00852E05">
      <w:r w:rsidRPr="00852E05">
        <w:t xml:space="preserve">Структурата на източниците на финансиране на инвестициите варира през различните години от анализирания период. С най-висок дял през всички анализирани години са собствените средства, които представляват средствата на бизнеса, отделени за инвестиции в инфраструктура за управлението на отпадъците. </w:t>
      </w:r>
    </w:p>
    <w:p w:rsidR="00852E05" w:rsidRPr="00852E05" w:rsidRDefault="00852E05" w:rsidP="00852E05">
      <w:r w:rsidRPr="00852E05">
        <w:t xml:space="preserve">Средствата от </w:t>
      </w:r>
      <w:r w:rsidR="00391C8E">
        <w:t>държавния</w:t>
      </w:r>
      <w:r w:rsidR="00391C8E" w:rsidRPr="00852E05">
        <w:t xml:space="preserve"> </w:t>
      </w:r>
      <w:r w:rsidRPr="00852E05">
        <w:t xml:space="preserve">бюджет и целевите субсидии през различните години включват средства, отпуснати целево за: изграждане на депа за битови отпадъци, реконструкция и разширение на съществуващи депа за битови отпадъци, инсталации за сепариране и предварително третиране на битови отпадъци, доставка на техника за регионални депа, закриване и рекултивация на депа за битови отпадъци. Размерът на част от тези средства се определя с решение на Министерския съвет, а другите се определят поименно за съответните общини с приложение към Закона за държавния бюджет на Република България. </w:t>
      </w:r>
    </w:p>
    <w:p w:rsidR="00852E05" w:rsidRPr="00852E05" w:rsidRDefault="00852E05" w:rsidP="00852E05">
      <w:r w:rsidRPr="00852E05">
        <w:t xml:space="preserve">Средствата на общините включват средства от </w:t>
      </w:r>
      <w:r w:rsidR="003239A2">
        <w:t>такса</w:t>
      </w:r>
      <w:r w:rsidR="00FC650D">
        <w:t xml:space="preserve"> за</w:t>
      </w:r>
      <w:r w:rsidR="003239A2">
        <w:t xml:space="preserve"> </w:t>
      </w:r>
      <w:r>
        <w:t xml:space="preserve">битови отпадъци и </w:t>
      </w:r>
      <w:r w:rsidRPr="00852E05">
        <w:t>собствени приходи (местни данъци, постъпления от наеми, продаж</w:t>
      </w:r>
      <w:r w:rsidR="003239A2">
        <w:t xml:space="preserve">ба на имущество и т.н.), които </w:t>
      </w:r>
      <w:r w:rsidRPr="00852E05">
        <w:t xml:space="preserve">след покриване на оперативните разходи по предоставянето на различни услуги, в случай на икономии насочват за инвестиционни цели. </w:t>
      </w:r>
    </w:p>
    <w:p w:rsidR="00852E05" w:rsidRPr="00852E05" w:rsidRDefault="00852E05" w:rsidP="00852E05">
      <w:r w:rsidRPr="00852E05">
        <w:t>Безвъзмездните помощи от чужбина включват разплащанията по линия на проектите по Програма ИСПА, разгледани по-горе.</w:t>
      </w:r>
    </w:p>
    <w:p w:rsidR="00852E05" w:rsidRDefault="00852E05" w:rsidP="00852E05">
      <w:r w:rsidRPr="00852E05">
        <w:t>Реалното усвояване на средствата по ОПОС</w:t>
      </w:r>
      <w:r>
        <w:t xml:space="preserve"> 2007-2013 г. </w:t>
      </w:r>
      <w:r w:rsidRPr="00852E05">
        <w:t xml:space="preserve"> стартира през 2010 г. като всяка година усвояването се подобрява</w:t>
      </w:r>
      <w:r>
        <w:t xml:space="preserve"> и то е най-високо през 2012 и 2013 г. </w:t>
      </w:r>
    </w:p>
    <w:p w:rsidR="00276778" w:rsidRDefault="00276778" w:rsidP="00852E05"/>
    <w:p w:rsidR="00276778" w:rsidRPr="00852E05" w:rsidRDefault="00276778" w:rsidP="00852E05"/>
    <w:p w:rsidR="008E2187" w:rsidRDefault="00EA3862" w:rsidP="00EA3862">
      <w:pPr>
        <w:pStyle w:val="2"/>
        <w:jc w:val="both"/>
      </w:pPr>
      <w:bookmarkStart w:id="17" w:name="_Toc45718797"/>
      <w:bookmarkStart w:id="18" w:name="_Toc68855851"/>
      <w:r>
        <w:t>Финансиране на разходите за управление на отпадъците в периода 2014-2020 г.</w:t>
      </w:r>
      <w:bookmarkEnd w:id="17"/>
      <w:bookmarkEnd w:id="18"/>
    </w:p>
    <w:p w:rsidR="00EA3862" w:rsidRDefault="00EA3862" w:rsidP="0006204E">
      <w:r>
        <w:t>Финансирането на разходите за управление на отпадъците в периода 2014-2020 г. е анализирано на база на налична информация от МОСВ и Министерство на финансите, тъй като НСИ не е публикувало официално такава информация.</w:t>
      </w:r>
    </w:p>
    <w:p w:rsidR="00EA3862" w:rsidRDefault="00EA3862" w:rsidP="0006204E"/>
    <w:p w:rsidR="00EA3862" w:rsidRDefault="00556E78" w:rsidP="00556E78">
      <w:pPr>
        <w:pStyle w:val="3"/>
      </w:pPr>
      <w:bookmarkStart w:id="19" w:name="_Toc68855852"/>
      <w:r>
        <w:t xml:space="preserve">Финансиране от </w:t>
      </w:r>
      <w:r w:rsidRPr="003239A2">
        <w:t>О</w:t>
      </w:r>
      <w:r w:rsidR="0021764B">
        <w:t>перативна програма „Околна среда“</w:t>
      </w:r>
      <w:bookmarkEnd w:id="19"/>
      <w:r w:rsidR="0021764B">
        <w:t xml:space="preserve"> </w:t>
      </w:r>
    </w:p>
    <w:p w:rsidR="00556E78" w:rsidRDefault="001827F4" w:rsidP="0006204E">
      <w:r>
        <w:t xml:space="preserve">Финансирането по линия на ОПОС за двата програмни периода е представено в следващите две таблици. </w:t>
      </w:r>
      <w:r w:rsidR="003239A2">
        <w:t xml:space="preserve">Финансирането по ОПОС 2007-2013 г. се разглежда като финанисране през периода 2014-2020 г., тъй като договорите са сключени в края на програмния период 2007-2013 г., но реалното изпълнение и разплащане е осъщетствено в следващия програмен период. </w:t>
      </w:r>
    </w:p>
    <w:p w:rsidR="00BB7BFF" w:rsidRDefault="001827F4" w:rsidP="0006204E">
      <w:r>
        <w:t xml:space="preserve">През програмен период 2007-2013 г. са финансирани инвестиционни проекти в 20 РСУО. </w:t>
      </w:r>
      <w:r w:rsidR="00A501AA">
        <w:t>Финансирано е изграждането на</w:t>
      </w:r>
      <w:r w:rsidR="00BB7BFF">
        <w:t>:</w:t>
      </w:r>
    </w:p>
    <w:p w:rsidR="001827F4" w:rsidRPr="00BB7BFF" w:rsidRDefault="00BB7BFF" w:rsidP="00D978BB">
      <w:pPr>
        <w:pStyle w:val="ListParagraph"/>
        <w:numPr>
          <w:ilvl w:val="0"/>
          <w:numId w:val="10"/>
        </w:numPr>
        <w:ind w:left="777" w:hanging="357"/>
        <w:contextualSpacing w:val="0"/>
        <w:rPr>
          <w:lang w:val="bg-BG"/>
        </w:rPr>
      </w:pPr>
      <w:r>
        <w:t>клетки на депа за битови отпадъци с общ капацитет 6</w:t>
      </w:r>
      <w:r>
        <w:rPr>
          <w:lang w:val="bg-BG"/>
        </w:rPr>
        <w:t xml:space="preserve"> </w:t>
      </w:r>
      <w:r>
        <w:t>408</w:t>
      </w:r>
      <w:r>
        <w:rPr>
          <w:lang w:val="bg-BG"/>
        </w:rPr>
        <w:t xml:space="preserve"> </w:t>
      </w:r>
      <w:r w:rsidRPr="00BB7BFF">
        <w:t>887 тона</w:t>
      </w:r>
    </w:p>
    <w:p w:rsidR="00BB7BFF" w:rsidRPr="00BB7BFF" w:rsidRDefault="00BB7BFF" w:rsidP="00D978BB">
      <w:pPr>
        <w:pStyle w:val="ListParagraph"/>
        <w:numPr>
          <w:ilvl w:val="0"/>
          <w:numId w:val="10"/>
        </w:numPr>
        <w:ind w:left="777" w:hanging="357"/>
        <w:contextualSpacing w:val="0"/>
      </w:pPr>
      <w:r>
        <w:rPr>
          <w:szCs w:val="22"/>
          <w:lang w:val="bg-BG"/>
        </w:rPr>
        <w:t xml:space="preserve">инсталации за предварително третиране на смесени битови отпадъци с общ </w:t>
      </w:r>
      <w:r w:rsidRPr="00BB7BFF">
        <w:t xml:space="preserve">капацитет </w:t>
      </w:r>
      <w:r>
        <w:t>387</w:t>
      </w:r>
      <w:r>
        <w:rPr>
          <w:lang w:val="bg-BG"/>
        </w:rPr>
        <w:t xml:space="preserve"> </w:t>
      </w:r>
      <w:r w:rsidRPr="00BB7BFF">
        <w:t>065 тона/год</w:t>
      </w:r>
    </w:p>
    <w:p w:rsidR="00BB7BFF" w:rsidRDefault="00BB7BFF" w:rsidP="00D978BB">
      <w:pPr>
        <w:pStyle w:val="ListParagraph"/>
        <w:numPr>
          <w:ilvl w:val="0"/>
          <w:numId w:val="10"/>
        </w:numPr>
        <w:ind w:left="777" w:hanging="357"/>
        <w:contextualSpacing w:val="0"/>
        <w:rPr>
          <w:szCs w:val="22"/>
          <w:lang w:val="bg-BG"/>
        </w:rPr>
      </w:pPr>
      <w:r>
        <w:rPr>
          <w:lang w:val="bg-BG"/>
        </w:rPr>
        <w:t xml:space="preserve">инсталации за компостиране на </w:t>
      </w:r>
      <w:r w:rsidRPr="00BB7BFF">
        <w:rPr>
          <w:szCs w:val="22"/>
          <w:lang w:val="bg-BG"/>
        </w:rPr>
        <w:t xml:space="preserve">зелени отпадъци с общ капацитет </w:t>
      </w:r>
      <w:r>
        <w:rPr>
          <w:szCs w:val="22"/>
          <w:lang w:val="bg-BG"/>
        </w:rPr>
        <w:t xml:space="preserve">200 </w:t>
      </w:r>
      <w:r w:rsidRPr="00BB7BFF">
        <w:rPr>
          <w:szCs w:val="22"/>
          <w:lang w:val="bg-BG"/>
        </w:rPr>
        <w:t>667 тона</w:t>
      </w:r>
      <w:r>
        <w:rPr>
          <w:szCs w:val="22"/>
          <w:lang w:val="bg-BG"/>
        </w:rPr>
        <w:t>/год</w:t>
      </w:r>
    </w:p>
    <w:p w:rsidR="00BB7BFF" w:rsidRDefault="00BB7BFF" w:rsidP="00D978BB">
      <w:pPr>
        <w:pStyle w:val="ListParagraph"/>
        <w:numPr>
          <w:ilvl w:val="0"/>
          <w:numId w:val="10"/>
        </w:numPr>
        <w:ind w:left="777" w:hanging="357"/>
        <w:contextualSpacing w:val="0"/>
        <w:rPr>
          <w:szCs w:val="22"/>
          <w:lang w:val="bg-BG"/>
        </w:rPr>
      </w:pPr>
      <w:r>
        <w:rPr>
          <w:szCs w:val="22"/>
          <w:lang w:val="bg-BG"/>
        </w:rPr>
        <w:t>инсталации за анаеробно разграждане с общ капацитет 20 000 тона/год</w:t>
      </w:r>
    </w:p>
    <w:p w:rsidR="00BB7BFF" w:rsidRDefault="00AC6705" w:rsidP="00D978BB">
      <w:pPr>
        <w:pStyle w:val="ListParagraph"/>
        <w:numPr>
          <w:ilvl w:val="0"/>
          <w:numId w:val="10"/>
        </w:numPr>
        <w:ind w:left="777" w:hanging="357"/>
        <w:contextualSpacing w:val="0"/>
        <w:rPr>
          <w:szCs w:val="22"/>
          <w:lang w:val="bg-BG"/>
        </w:rPr>
      </w:pPr>
      <w:r>
        <w:rPr>
          <w:szCs w:val="22"/>
          <w:lang w:val="bg-BG"/>
        </w:rPr>
        <w:t>площадки за временно съхранение</w:t>
      </w:r>
      <w:r w:rsidR="001409AC">
        <w:rPr>
          <w:szCs w:val="22"/>
          <w:lang w:val="bg-BG"/>
        </w:rPr>
        <w:t xml:space="preserve"> на отпадъци - 4 РСУО</w:t>
      </w:r>
    </w:p>
    <w:p w:rsidR="001409AC" w:rsidRDefault="001409AC" w:rsidP="00D978BB">
      <w:pPr>
        <w:pStyle w:val="ListParagraph"/>
        <w:numPr>
          <w:ilvl w:val="0"/>
          <w:numId w:val="10"/>
        </w:numPr>
        <w:ind w:left="777" w:hanging="357"/>
        <w:contextualSpacing w:val="0"/>
        <w:rPr>
          <w:szCs w:val="22"/>
          <w:lang w:val="bg-BG"/>
        </w:rPr>
      </w:pPr>
      <w:r>
        <w:rPr>
          <w:szCs w:val="22"/>
          <w:lang w:val="bg-BG"/>
        </w:rPr>
        <w:t>рекултивация на депа - 2 РСУО</w:t>
      </w:r>
    </w:p>
    <w:p w:rsidR="001409AC" w:rsidRDefault="001409AC" w:rsidP="00D978BB">
      <w:pPr>
        <w:pStyle w:val="ListParagraph"/>
        <w:numPr>
          <w:ilvl w:val="0"/>
          <w:numId w:val="10"/>
        </w:numPr>
        <w:ind w:left="777" w:hanging="357"/>
        <w:contextualSpacing w:val="0"/>
        <w:rPr>
          <w:szCs w:val="22"/>
          <w:lang w:val="bg-BG"/>
        </w:rPr>
      </w:pPr>
      <w:r>
        <w:rPr>
          <w:szCs w:val="22"/>
          <w:lang w:val="bg-BG"/>
        </w:rPr>
        <w:t>претоварни станции - 4 РСУО</w:t>
      </w:r>
    </w:p>
    <w:p w:rsidR="001409AC" w:rsidRDefault="001409AC" w:rsidP="00D978BB">
      <w:pPr>
        <w:pStyle w:val="ListParagraph"/>
        <w:numPr>
          <w:ilvl w:val="0"/>
          <w:numId w:val="10"/>
        </w:numPr>
        <w:ind w:left="777" w:hanging="357"/>
        <w:contextualSpacing w:val="0"/>
        <w:rPr>
          <w:szCs w:val="22"/>
          <w:lang w:val="bg-BG"/>
        </w:rPr>
      </w:pPr>
      <w:r>
        <w:rPr>
          <w:szCs w:val="22"/>
          <w:lang w:val="bg-BG"/>
        </w:rPr>
        <w:t>инсталации за третиране на строителни отпадъци - 4 РСУО</w:t>
      </w:r>
    </w:p>
    <w:p w:rsidR="001409AC" w:rsidRPr="00BB7BFF" w:rsidRDefault="001409AC" w:rsidP="00D978BB">
      <w:pPr>
        <w:pStyle w:val="ListParagraph"/>
        <w:numPr>
          <w:ilvl w:val="0"/>
          <w:numId w:val="10"/>
        </w:numPr>
        <w:ind w:left="777" w:hanging="357"/>
        <w:contextualSpacing w:val="0"/>
        <w:rPr>
          <w:szCs w:val="22"/>
          <w:lang w:val="bg-BG"/>
        </w:rPr>
      </w:pPr>
      <w:r>
        <w:rPr>
          <w:szCs w:val="22"/>
          <w:lang w:val="bg-BG"/>
        </w:rPr>
        <w:t>депо за инертни отпадъци - 1 РСУО</w:t>
      </w:r>
    </w:p>
    <w:p w:rsidR="00556E78" w:rsidRPr="00014A0E" w:rsidRDefault="00014A0E" w:rsidP="0006204E">
      <w:r>
        <w:t xml:space="preserve">Общото финансиране по ОПОС 2007-2013 г. под формата на безвъзмездна финансова помощ (БФП) е в размер на </w:t>
      </w:r>
      <w:r w:rsidRPr="00014A0E">
        <w:t>752 338 880.74 лв.</w:t>
      </w:r>
    </w:p>
    <w:p w:rsidR="00EA3862" w:rsidRDefault="00EA3862" w:rsidP="0006204E"/>
    <w:p w:rsidR="00EA3862" w:rsidRDefault="00EA3862" w:rsidP="0006204E"/>
    <w:p w:rsidR="00EA3862" w:rsidRDefault="00EA3862" w:rsidP="0006204E">
      <w:pPr>
        <w:sectPr w:rsidR="00EA3862" w:rsidSect="001C0F3B">
          <w:pgSz w:w="11906" w:h="16838" w:code="9"/>
          <w:pgMar w:top="1417" w:right="1417" w:bottom="1417" w:left="1417" w:header="708" w:footer="0" w:gutter="0"/>
          <w:cols w:space="708"/>
          <w:docGrid w:linePitch="360"/>
        </w:sectPr>
      </w:pPr>
    </w:p>
    <w:p w:rsidR="00E23F19" w:rsidRDefault="00B53D45" w:rsidP="00B53D45">
      <w:pPr>
        <w:pStyle w:val="Caption"/>
        <w:rPr>
          <w:lang w:val="en-GB"/>
        </w:rPr>
      </w:pPr>
      <w:bookmarkStart w:id="20" w:name="_Toc45719029"/>
      <w:r>
        <w:lastRenderedPageBreak/>
        <w:t xml:space="preserve">Таблица </w:t>
      </w:r>
      <w:r w:rsidR="00680D95">
        <w:fldChar w:fldCharType="begin"/>
      </w:r>
      <w:r>
        <w:instrText xml:space="preserve"> SEQ Таблица \* ARABIC </w:instrText>
      </w:r>
      <w:r w:rsidR="00680D95">
        <w:fldChar w:fldCharType="separate"/>
      </w:r>
      <w:r w:rsidR="000F1791">
        <w:rPr>
          <w:noProof/>
        </w:rPr>
        <w:t>5</w:t>
      </w:r>
      <w:r w:rsidR="00680D95">
        <w:fldChar w:fldCharType="end"/>
      </w:r>
      <w:r>
        <w:t>. Финансиране на инфраструктура за управление на отпадъците по ОПОС 2007-2013 г.</w:t>
      </w:r>
      <w:bookmarkEnd w:id="20"/>
    </w:p>
    <w:tbl>
      <w:tblPr>
        <w:tblW w:w="15168" w:type="dxa"/>
        <w:tblInd w:w="-318" w:type="dxa"/>
        <w:tblLayout w:type="fixed"/>
        <w:tblLook w:val="04A0" w:firstRow="1" w:lastRow="0" w:firstColumn="1" w:lastColumn="0" w:noHBand="0" w:noVBand="1"/>
      </w:tblPr>
      <w:tblGrid>
        <w:gridCol w:w="1844"/>
        <w:gridCol w:w="1701"/>
        <w:gridCol w:w="1417"/>
        <w:gridCol w:w="1418"/>
        <w:gridCol w:w="1134"/>
        <w:gridCol w:w="1276"/>
        <w:gridCol w:w="1134"/>
        <w:gridCol w:w="1275"/>
        <w:gridCol w:w="1418"/>
        <w:gridCol w:w="1134"/>
        <w:gridCol w:w="1417"/>
      </w:tblGrid>
      <w:tr w:rsidR="00B53D45" w:rsidRPr="008E2187" w:rsidTr="00E65199">
        <w:trPr>
          <w:trHeight w:val="1282"/>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3D45" w:rsidRPr="008E2187" w:rsidRDefault="00ED0F9B" w:rsidP="00E65199">
            <w:pPr>
              <w:spacing w:after="60"/>
              <w:jc w:val="center"/>
              <w:rPr>
                <w:rFonts w:ascii="Calibri" w:eastAsia="Times New Roman" w:hAnsi="Calibri"/>
                <w:b/>
                <w:color w:val="000000"/>
                <w:sz w:val="18"/>
                <w:szCs w:val="18"/>
                <w:lang w:eastAsia="en-GB"/>
              </w:rPr>
            </w:pPr>
            <w:r>
              <w:rPr>
                <w:rFonts w:ascii="Calibri" w:eastAsia="Times New Roman" w:hAnsi="Calibri"/>
                <w:b/>
                <w:color w:val="000000"/>
                <w:sz w:val="18"/>
                <w:szCs w:val="18"/>
                <w:lang w:eastAsia="en-GB"/>
              </w:rPr>
              <w:t xml:space="preserve">Договори с </w:t>
            </w:r>
            <w:r w:rsidR="00B53D45" w:rsidRPr="008E2187">
              <w:rPr>
                <w:rFonts w:ascii="Calibri" w:eastAsia="Times New Roman" w:hAnsi="Calibri"/>
                <w:b/>
                <w:color w:val="000000"/>
                <w:sz w:val="18"/>
                <w:szCs w:val="18"/>
                <w:lang w:val="en-GB" w:eastAsia="en-GB"/>
              </w:rPr>
              <w:t>РСУО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Капацитет на изградени инсталации за предварително третиране (т/год)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Капацитет на изградени инсталации за компостиране (т/год)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Капацитет на изградени анаеробни инсталации (т/год)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Капацитет на изградени клетки на депа (т)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Площадка за временно съхраняване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Рекултива-ция на депо</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Претоварни станции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Инсталация за третиране/ рециклиране на строителни отпадъци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Депо за инертни отпадъци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53D45" w:rsidRPr="008E2187" w:rsidRDefault="00B53D45" w:rsidP="00E65199">
            <w:pPr>
              <w:spacing w:after="60"/>
              <w:jc w:val="center"/>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БФП (лв.)</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Хасково</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42 000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148 500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26 954 585,36</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Габрово</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10 000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373 218</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22 284 004,10</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Перник</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41 600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3 000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219 000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16 503 401,18</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Панагюрище</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59 765</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16 512 095,74</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Ямбол</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288 419</w:t>
            </w:r>
          </w:p>
        </w:tc>
        <w:tc>
          <w:tcPr>
            <w:tcW w:w="1276" w:type="dxa"/>
            <w:tcBorders>
              <w:top w:val="nil"/>
              <w:left w:val="nil"/>
              <w:bottom w:val="single" w:sz="4" w:space="0" w:color="auto"/>
              <w:right w:val="single" w:sz="4" w:space="0" w:color="auto"/>
            </w:tcBorders>
            <w:shd w:val="clear" w:color="auto" w:fill="auto"/>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hideMark/>
          </w:tcPr>
          <w:p w:rsidR="00E65199" w:rsidRPr="00E65199" w:rsidRDefault="00E65199" w:rsidP="00E65199">
            <w:pPr>
              <w:spacing w:after="60"/>
              <w:jc w:val="right"/>
              <w:rPr>
                <w:rFonts w:ascii="Calibri" w:hAnsi="Calibri" w:cs="Calibri"/>
                <w:sz w:val="18"/>
                <w:szCs w:val="18"/>
              </w:rPr>
            </w:pPr>
            <w:r w:rsidRPr="00E65199">
              <w:rPr>
                <w:rFonts w:ascii="Calibri" w:hAnsi="Calibri" w:cs="Calibri"/>
                <w:sz w:val="18"/>
                <w:szCs w:val="18"/>
              </w:rPr>
              <w:t>29 389 564,13</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Разлог</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3 500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131 006</w:t>
            </w:r>
          </w:p>
        </w:tc>
        <w:tc>
          <w:tcPr>
            <w:tcW w:w="1276" w:type="dxa"/>
            <w:tcBorders>
              <w:top w:val="nil"/>
              <w:left w:val="nil"/>
              <w:bottom w:val="single" w:sz="4" w:space="0" w:color="auto"/>
              <w:right w:val="single" w:sz="4" w:space="0" w:color="auto"/>
            </w:tcBorders>
            <w:shd w:val="clear" w:color="auto" w:fill="auto"/>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11 845 268,97</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Бургас</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10 000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5 000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400 000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40 385 216,12</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Варна</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16 000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401 944</w:t>
            </w:r>
          </w:p>
        </w:tc>
        <w:tc>
          <w:tcPr>
            <w:tcW w:w="1276" w:type="dxa"/>
            <w:tcBorders>
              <w:top w:val="nil"/>
              <w:left w:val="nil"/>
              <w:bottom w:val="single" w:sz="4" w:space="0" w:color="auto"/>
              <w:right w:val="single" w:sz="4" w:space="0" w:color="auto"/>
            </w:tcBorders>
            <w:shd w:val="clear" w:color="auto" w:fill="auto"/>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23 110 204,19</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Добрич</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52 200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16 647</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240 000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35 842 515,98</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Велико Търново</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50 000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28 000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173 776</w:t>
            </w:r>
          </w:p>
        </w:tc>
        <w:tc>
          <w:tcPr>
            <w:tcW w:w="1276" w:type="dxa"/>
            <w:tcBorders>
              <w:top w:val="nil"/>
              <w:left w:val="nil"/>
              <w:bottom w:val="single" w:sz="4" w:space="0" w:color="auto"/>
              <w:right w:val="single" w:sz="4" w:space="0" w:color="auto"/>
            </w:tcBorders>
            <w:shd w:val="clear" w:color="auto" w:fill="auto"/>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30 407 575,99</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Бяла</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3 400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1 820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65 600</w:t>
            </w:r>
          </w:p>
        </w:tc>
        <w:tc>
          <w:tcPr>
            <w:tcW w:w="1276" w:type="dxa"/>
            <w:tcBorders>
              <w:top w:val="nil"/>
              <w:left w:val="nil"/>
              <w:bottom w:val="single" w:sz="4" w:space="0" w:color="auto"/>
              <w:right w:val="single" w:sz="4" w:space="0" w:color="auto"/>
            </w:tcBorders>
            <w:shd w:val="clear" w:color="auto" w:fill="auto"/>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hideMark/>
          </w:tcPr>
          <w:p w:rsidR="00E65199" w:rsidRPr="00E65199" w:rsidRDefault="00E65199" w:rsidP="00E65199">
            <w:pPr>
              <w:spacing w:after="60"/>
              <w:jc w:val="right"/>
              <w:rPr>
                <w:rFonts w:ascii="Calibri" w:hAnsi="Calibri" w:cs="Calibri"/>
                <w:sz w:val="18"/>
                <w:szCs w:val="18"/>
              </w:rPr>
            </w:pPr>
            <w:r w:rsidRPr="00E65199">
              <w:rPr>
                <w:rFonts w:ascii="Calibri" w:hAnsi="Calibri" w:cs="Calibri"/>
                <w:sz w:val="18"/>
                <w:szCs w:val="18"/>
              </w:rPr>
              <w:t>22 054 200,71</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Видин</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8 000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406 000</w:t>
            </w:r>
          </w:p>
        </w:tc>
        <w:tc>
          <w:tcPr>
            <w:tcW w:w="1276" w:type="dxa"/>
            <w:tcBorders>
              <w:top w:val="nil"/>
              <w:left w:val="nil"/>
              <w:bottom w:val="single" w:sz="4" w:space="0" w:color="auto"/>
              <w:right w:val="single" w:sz="4" w:space="0" w:color="auto"/>
            </w:tcBorders>
            <w:shd w:val="clear" w:color="auto" w:fill="auto"/>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19 094 745,72</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Плевен</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53 865</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25 700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785 500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26 183 788,57</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Левски</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30 000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15 000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94 339</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40 749 159,18</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Луковит</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164 700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21 212 758,57</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Ботевград</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238 920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hideMark/>
          </w:tcPr>
          <w:p w:rsidR="00E65199" w:rsidRPr="00E65199" w:rsidRDefault="00E65199" w:rsidP="00E65199">
            <w:pPr>
              <w:spacing w:after="60"/>
              <w:jc w:val="right"/>
              <w:rPr>
                <w:rFonts w:ascii="Calibri" w:hAnsi="Calibri" w:cs="Calibri"/>
                <w:sz w:val="18"/>
                <w:szCs w:val="18"/>
              </w:rPr>
            </w:pPr>
            <w:r w:rsidRPr="00E65199">
              <w:rPr>
                <w:rFonts w:ascii="Calibri" w:hAnsi="Calibri" w:cs="Calibri"/>
                <w:sz w:val="18"/>
                <w:szCs w:val="18"/>
              </w:rPr>
              <w:t>14 489 450,40</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Костенец</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25 000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20 000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266 080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8 645 362,90</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Стара Загора</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30 000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20 000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1 200 000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center"/>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х</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49 084 180,16</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София</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41 000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24 000</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20 000</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724 000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291 537 381,11</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Малко Търново</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6 000</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color w:val="000000"/>
                <w:sz w:val="18"/>
                <w:szCs w:val="18"/>
              </w:rPr>
            </w:pPr>
            <w:r w:rsidRPr="00E65199">
              <w:rPr>
                <w:rFonts w:cstheme="minorHAnsi"/>
                <w:color w:val="000000"/>
                <w:sz w:val="18"/>
                <w:szCs w:val="18"/>
              </w:rPr>
              <w:t>28 120</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color w:val="000000"/>
                <w:sz w:val="18"/>
                <w:szCs w:val="18"/>
                <w:lang w:val="en-GB" w:eastAsia="en-GB"/>
              </w:rPr>
            </w:pPr>
            <w:r w:rsidRPr="008E2187">
              <w:rPr>
                <w:rFonts w:ascii="Calibri" w:eastAsia="Times New Roman" w:hAnsi="Calibri"/>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ascii="Calibri" w:hAnsi="Calibri" w:cs="Calibri"/>
                <w:color w:val="000000"/>
                <w:sz w:val="18"/>
                <w:szCs w:val="18"/>
              </w:rPr>
            </w:pPr>
            <w:r w:rsidRPr="00E65199">
              <w:rPr>
                <w:rFonts w:ascii="Calibri" w:hAnsi="Calibri" w:cs="Calibri"/>
                <w:color w:val="000000"/>
                <w:sz w:val="18"/>
                <w:szCs w:val="18"/>
              </w:rPr>
              <w:t>6 053 421,66</w:t>
            </w:r>
          </w:p>
        </w:tc>
      </w:tr>
      <w:tr w:rsidR="00E65199" w:rsidRPr="008E2187" w:rsidTr="00E6519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ВСИЧКО</w:t>
            </w:r>
          </w:p>
        </w:tc>
        <w:tc>
          <w:tcPr>
            <w:tcW w:w="1701"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b/>
                <w:bCs/>
                <w:color w:val="000000"/>
                <w:sz w:val="18"/>
                <w:szCs w:val="18"/>
              </w:rPr>
            </w:pPr>
            <w:r w:rsidRPr="00E65199">
              <w:rPr>
                <w:rFonts w:cstheme="minorHAnsi"/>
                <w:b/>
                <w:bCs/>
                <w:color w:val="000000"/>
                <w:sz w:val="18"/>
                <w:szCs w:val="18"/>
              </w:rPr>
              <w:t>387 065</w:t>
            </w:r>
          </w:p>
        </w:tc>
        <w:tc>
          <w:tcPr>
            <w:tcW w:w="1417"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b/>
                <w:bCs/>
                <w:color w:val="000000"/>
                <w:sz w:val="18"/>
                <w:szCs w:val="18"/>
              </w:rPr>
            </w:pPr>
            <w:r w:rsidRPr="00E65199">
              <w:rPr>
                <w:rFonts w:cstheme="minorHAnsi"/>
                <w:b/>
                <w:bCs/>
                <w:color w:val="000000"/>
                <w:sz w:val="18"/>
                <w:szCs w:val="18"/>
              </w:rPr>
              <w:t>200 667</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b/>
                <w:bCs/>
                <w:color w:val="000000"/>
                <w:sz w:val="18"/>
                <w:szCs w:val="18"/>
              </w:rPr>
            </w:pPr>
            <w:r w:rsidRPr="00E65199">
              <w:rPr>
                <w:rFonts w:cstheme="minorHAnsi"/>
                <w:b/>
                <w:bCs/>
                <w:color w:val="000000"/>
                <w:sz w:val="18"/>
                <w:szCs w:val="18"/>
              </w:rPr>
              <w:t>20 000</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E65199" w:rsidRDefault="00E65199" w:rsidP="00E65199">
            <w:pPr>
              <w:spacing w:after="60"/>
              <w:jc w:val="right"/>
              <w:rPr>
                <w:rFonts w:cstheme="minorHAnsi"/>
                <w:b/>
                <w:bCs/>
                <w:color w:val="000000"/>
                <w:sz w:val="18"/>
                <w:szCs w:val="18"/>
              </w:rPr>
            </w:pPr>
            <w:r w:rsidRPr="00E65199">
              <w:rPr>
                <w:rFonts w:cstheme="minorHAnsi"/>
                <w:b/>
                <w:bCs/>
                <w:color w:val="000000"/>
                <w:sz w:val="18"/>
                <w:szCs w:val="18"/>
              </w:rPr>
              <w:t>6 408 887</w:t>
            </w:r>
          </w:p>
        </w:tc>
        <w:tc>
          <w:tcPr>
            <w:tcW w:w="1276"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 </w:t>
            </w:r>
          </w:p>
        </w:tc>
        <w:tc>
          <w:tcPr>
            <w:tcW w:w="1275"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 </w:t>
            </w:r>
          </w:p>
        </w:tc>
        <w:tc>
          <w:tcPr>
            <w:tcW w:w="1418"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rsidR="00E65199" w:rsidRPr="008E2187" w:rsidRDefault="00E65199" w:rsidP="00E65199">
            <w:pPr>
              <w:spacing w:after="60"/>
              <w:jc w:val="left"/>
              <w:rPr>
                <w:rFonts w:ascii="Calibri" w:eastAsia="Times New Roman" w:hAnsi="Calibri"/>
                <w:b/>
                <w:bCs/>
                <w:color w:val="000000"/>
                <w:sz w:val="18"/>
                <w:szCs w:val="18"/>
                <w:lang w:val="en-GB" w:eastAsia="en-GB"/>
              </w:rPr>
            </w:pPr>
            <w:r w:rsidRPr="008E2187">
              <w:rPr>
                <w:rFonts w:ascii="Calibri" w:eastAsia="Times New Roman" w:hAnsi="Calibri"/>
                <w:b/>
                <w:bCs/>
                <w:color w:val="000000"/>
                <w:sz w:val="18"/>
                <w:szCs w:val="18"/>
                <w:lang w:val="en-GB" w:eastAsia="en-GB"/>
              </w:rPr>
              <w:t> </w:t>
            </w:r>
          </w:p>
        </w:tc>
        <w:tc>
          <w:tcPr>
            <w:tcW w:w="1417" w:type="dxa"/>
            <w:tcBorders>
              <w:top w:val="nil"/>
              <w:left w:val="nil"/>
              <w:bottom w:val="single" w:sz="4" w:space="0" w:color="auto"/>
              <w:right w:val="single" w:sz="4" w:space="0" w:color="auto"/>
            </w:tcBorders>
            <w:shd w:val="clear" w:color="auto" w:fill="auto"/>
            <w:noWrap/>
            <w:vAlign w:val="center"/>
            <w:hideMark/>
          </w:tcPr>
          <w:p w:rsidR="00E65199" w:rsidRPr="008E2187" w:rsidRDefault="0087713E" w:rsidP="00E65199">
            <w:pPr>
              <w:spacing w:after="60"/>
              <w:jc w:val="right"/>
              <w:rPr>
                <w:rFonts w:ascii="Calibri" w:eastAsia="Times New Roman" w:hAnsi="Calibri"/>
                <w:b/>
                <w:bCs/>
                <w:color w:val="000000"/>
                <w:sz w:val="18"/>
                <w:szCs w:val="18"/>
                <w:lang w:val="en-GB" w:eastAsia="en-GB"/>
              </w:rPr>
            </w:pPr>
            <w:r>
              <w:rPr>
                <w:rFonts w:ascii="Calibri" w:eastAsia="Times New Roman" w:hAnsi="Calibri"/>
                <w:b/>
                <w:bCs/>
                <w:color w:val="000000"/>
                <w:sz w:val="18"/>
                <w:szCs w:val="18"/>
                <w:lang w:val="en-GB" w:eastAsia="en-GB"/>
              </w:rPr>
              <w:t>752 338 880,</w:t>
            </w:r>
            <w:r w:rsidR="00E65199" w:rsidRPr="008E2187">
              <w:rPr>
                <w:rFonts w:ascii="Calibri" w:eastAsia="Times New Roman" w:hAnsi="Calibri"/>
                <w:b/>
                <w:bCs/>
                <w:color w:val="000000"/>
                <w:sz w:val="18"/>
                <w:szCs w:val="18"/>
                <w:lang w:val="en-GB" w:eastAsia="en-GB"/>
              </w:rPr>
              <w:t>74</w:t>
            </w:r>
          </w:p>
        </w:tc>
      </w:tr>
    </w:tbl>
    <w:p w:rsidR="008E2187" w:rsidRPr="00FF2745" w:rsidRDefault="00FF2745" w:rsidP="00FF2745">
      <w:pPr>
        <w:jc w:val="center"/>
      </w:pPr>
      <w:r>
        <w:t>Източник: МОСВ</w:t>
      </w:r>
    </w:p>
    <w:p w:rsidR="00DE32EF" w:rsidRDefault="00DE32EF" w:rsidP="0006204E"/>
    <w:p w:rsidR="00DE32EF" w:rsidRPr="00DE32EF" w:rsidRDefault="00DE32EF" w:rsidP="0006204E">
      <w:pPr>
        <w:sectPr w:rsidR="00DE32EF" w:rsidRPr="00DE32EF" w:rsidSect="008E2187">
          <w:pgSz w:w="16838" w:h="11906" w:orient="landscape" w:code="9"/>
          <w:pgMar w:top="1417" w:right="1417" w:bottom="1417" w:left="1417" w:header="708" w:footer="0" w:gutter="0"/>
          <w:cols w:space="708"/>
          <w:docGrid w:linePitch="360"/>
        </w:sectPr>
      </w:pPr>
    </w:p>
    <w:p w:rsidR="00991CF5" w:rsidRDefault="00991CF5" w:rsidP="00991CF5">
      <w:r>
        <w:lastRenderedPageBreak/>
        <w:t xml:space="preserve">През програмен период 2014-2020 г. са финансирани инвестиционни проекти </w:t>
      </w:r>
      <w:r w:rsidR="00FD0B09">
        <w:rPr>
          <w:lang w:val="en-GB"/>
        </w:rPr>
        <w:t>за изграждане на инсталации за предварително третиране на отпадъци, компостиране на зелени отпадъци и анаеробни инсталации</w:t>
      </w:r>
      <w:r w:rsidR="0051435C">
        <w:t xml:space="preserve"> в 24 РСУО, като за някои РСУО са сключвани по няколко договора с оглед на това, че дадената инсталация ще обслужва отделни общини от РСУО. Финансирането е както следва</w:t>
      </w:r>
      <w:r>
        <w:t>:</w:t>
      </w:r>
    </w:p>
    <w:p w:rsidR="00991CF5" w:rsidRPr="00BB7BFF" w:rsidRDefault="00991CF5" w:rsidP="00D978BB">
      <w:pPr>
        <w:pStyle w:val="ListParagraph"/>
        <w:numPr>
          <w:ilvl w:val="0"/>
          <w:numId w:val="10"/>
        </w:numPr>
        <w:ind w:left="777" w:hanging="357"/>
        <w:contextualSpacing w:val="0"/>
      </w:pPr>
      <w:r>
        <w:rPr>
          <w:szCs w:val="22"/>
          <w:lang w:val="bg-BG"/>
        </w:rPr>
        <w:t xml:space="preserve">инсталации за предварително третиране на смесени битови отпадъци с общ </w:t>
      </w:r>
      <w:r w:rsidRPr="0051435C">
        <w:rPr>
          <w:szCs w:val="22"/>
          <w:lang w:val="bg-BG"/>
        </w:rPr>
        <w:t xml:space="preserve">капацитет </w:t>
      </w:r>
      <w:r w:rsidR="0051435C" w:rsidRPr="0051435C">
        <w:rPr>
          <w:szCs w:val="22"/>
          <w:lang w:val="bg-BG"/>
        </w:rPr>
        <w:t>247</w:t>
      </w:r>
      <w:r w:rsidR="00116049">
        <w:rPr>
          <w:szCs w:val="22"/>
          <w:lang w:val="bg-BG"/>
        </w:rPr>
        <w:t> </w:t>
      </w:r>
      <w:r w:rsidR="0051435C" w:rsidRPr="0051435C">
        <w:rPr>
          <w:szCs w:val="22"/>
          <w:lang w:val="bg-BG"/>
        </w:rPr>
        <w:t>879</w:t>
      </w:r>
      <w:r w:rsidR="00116049">
        <w:rPr>
          <w:szCs w:val="22"/>
          <w:lang w:val="bg-BG"/>
        </w:rPr>
        <w:t>,</w:t>
      </w:r>
      <w:r w:rsidR="0051435C" w:rsidRPr="0051435C">
        <w:rPr>
          <w:szCs w:val="22"/>
          <w:lang w:val="bg-BG"/>
        </w:rPr>
        <w:t>35</w:t>
      </w:r>
      <w:r w:rsidR="00116049">
        <w:rPr>
          <w:szCs w:val="22"/>
          <w:lang w:val="bg-BG"/>
        </w:rPr>
        <w:t xml:space="preserve"> </w:t>
      </w:r>
      <w:r w:rsidRPr="0051435C">
        <w:rPr>
          <w:szCs w:val="22"/>
          <w:lang w:val="bg-BG"/>
        </w:rPr>
        <w:t>тона/год</w:t>
      </w:r>
    </w:p>
    <w:p w:rsidR="00991CF5" w:rsidRDefault="00991CF5" w:rsidP="00D978BB">
      <w:pPr>
        <w:pStyle w:val="ListParagraph"/>
        <w:numPr>
          <w:ilvl w:val="0"/>
          <w:numId w:val="10"/>
        </w:numPr>
        <w:ind w:left="777" w:hanging="357"/>
        <w:contextualSpacing w:val="0"/>
        <w:rPr>
          <w:szCs w:val="22"/>
          <w:lang w:val="bg-BG"/>
        </w:rPr>
      </w:pPr>
      <w:r w:rsidRPr="0051435C">
        <w:rPr>
          <w:szCs w:val="22"/>
          <w:lang w:val="bg-BG"/>
        </w:rPr>
        <w:t xml:space="preserve">инсталации за компостиране на </w:t>
      </w:r>
      <w:r w:rsidRPr="00BB7BFF">
        <w:rPr>
          <w:szCs w:val="22"/>
          <w:lang w:val="bg-BG"/>
        </w:rPr>
        <w:t xml:space="preserve">зелени отпадъци с общ капацитет </w:t>
      </w:r>
      <w:r w:rsidR="00676C3B">
        <w:rPr>
          <w:szCs w:val="22"/>
          <w:lang w:val="bg-BG"/>
        </w:rPr>
        <w:t>159</w:t>
      </w:r>
      <w:r w:rsidR="00116049">
        <w:rPr>
          <w:szCs w:val="22"/>
          <w:lang w:val="bg-BG"/>
        </w:rPr>
        <w:t> </w:t>
      </w:r>
      <w:r w:rsidR="0051435C" w:rsidRPr="0051435C">
        <w:rPr>
          <w:szCs w:val="22"/>
          <w:lang w:val="bg-BG"/>
        </w:rPr>
        <w:t>205</w:t>
      </w:r>
      <w:r w:rsidR="00116049">
        <w:rPr>
          <w:szCs w:val="22"/>
          <w:lang w:val="bg-BG"/>
        </w:rPr>
        <w:t>,</w:t>
      </w:r>
      <w:r w:rsidR="0051435C" w:rsidRPr="0051435C">
        <w:rPr>
          <w:szCs w:val="22"/>
          <w:lang w:val="bg-BG"/>
        </w:rPr>
        <w:t>94</w:t>
      </w:r>
      <w:r w:rsidR="0051435C">
        <w:rPr>
          <w:rFonts w:ascii="Calibri" w:eastAsia="Times New Roman" w:hAnsi="Calibri"/>
          <w:b/>
          <w:bCs/>
          <w:color w:val="000000"/>
          <w:sz w:val="20"/>
          <w:szCs w:val="20"/>
          <w:lang w:val="bg-BG" w:eastAsia="en-GB"/>
        </w:rPr>
        <w:t xml:space="preserve"> </w:t>
      </w:r>
      <w:r w:rsidRPr="00BB7BFF">
        <w:rPr>
          <w:szCs w:val="22"/>
          <w:lang w:val="bg-BG"/>
        </w:rPr>
        <w:t>тона</w:t>
      </w:r>
      <w:r>
        <w:rPr>
          <w:szCs w:val="22"/>
          <w:lang w:val="bg-BG"/>
        </w:rPr>
        <w:t>/год</w:t>
      </w:r>
    </w:p>
    <w:p w:rsidR="00991CF5" w:rsidRDefault="00991CF5" w:rsidP="00D978BB">
      <w:pPr>
        <w:pStyle w:val="ListParagraph"/>
        <w:numPr>
          <w:ilvl w:val="0"/>
          <w:numId w:val="10"/>
        </w:numPr>
        <w:ind w:left="777" w:hanging="357"/>
        <w:contextualSpacing w:val="0"/>
        <w:rPr>
          <w:szCs w:val="22"/>
          <w:lang w:val="bg-BG"/>
        </w:rPr>
      </w:pPr>
      <w:r>
        <w:rPr>
          <w:szCs w:val="22"/>
          <w:lang w:val="bg-BG"/>
        </w:rPr>
        <w:t xml:space="preserve">инсталации за анаеробно разграждане с общ капацитет </w:t>
      </w:r>
      <w:r w:rsidR="0051435C" w:rsidRPr="0051435C">
        <w:rPr>
          <w:szCs w:val="22"/>
          <w:lang w:val="bg-BG"/>
        </w:rPr>
        <w:t>64 316</w:t>
      </w:r>
      <w:r w:rsidR="0051435C">
        <w:rPr>
          <w:szCs w:val="22"/>
          <w:lang w:val="bg-BG"/>
        </w:rPr>
        <w:t xml:space="preserve"> </w:t>
      </w:r>
      <w:r>
        <w:rPr>
          <w:szCs w:val="22"/>
          <w:lang w:val="bg-BG"/>
        </w:rPr>
        <w:t>тона/год</w:t>
      </w:r>
    </w:p>
    <w:p w:rsidR="00991CF5" w:rsidRPr="00014A0E" w:rsidRDefault="00991CF5" w:rsidP="00991CF5">
      <w:r>
        <w:t>Общото финансиране по ОПОС 20</w:t>
      </w:r>
      <w:r w:rsidR="0051435C">
        <w:t>14</w:t>
      </w:r>
      <w:r>
        <w:t>-20</w:t>
      </w:r>
      <w:r w:rsidR="0051435C">
        <w:t>20</w:t>
      </w:r>
      <w:r>
        <w:t xml:space="preserve"> г. под формата на безвъзмездна финансова помощ (БФП) е в размер на </w:t>
      </w:r>
      <w:r w:rsidR="0051435C" w:rsidRPr="0051435C">
        <w:t>276 509</w:t>
      </w:r>
      <w:r w:rsidR="00116049">
        <w:t> </w:t>
      </w:r>
      <w:r w:rsidR="0051435C" w:rsidRPr="0051435C">
        <w:t>827</w:t>
      </w:r>
      <w:r w:rsidR="00116049">
        <w:t>,</w:t>
      </w:r>
      <w:r w:rsidR="0051435C" w:rsidRPr="0051435C">
        <w:t xml:space="preserve">86 </w:t>
      </w:r>
      <w:r w:rsidRPr="00014A0E">
        <w:t>лв.</w:t>
      </w:r>
    </w:p>
    <w:p w:rsidR="00E23F19" w:rsidRDefault="00CC0B65" w:rsidP="00CC0B65">
      <w:pPr>
        <w:pStyle w:val="Caption"/>
      </w:pPr>
      <w:bookmarkStart w:id="21" w:name="_Toc45719030"/>
      <w:r>
        <w:t xml:space="preserve">Таблица </w:t>
      </w:r>
      <w:r w:rsidR="00680D95">
        <w:fldChar w:fldCharType="begin"/>
      </w:r>
      <w:r>
        <w:instrText xml:space="preserve"> SEQ Таблица \* ARABIC </w:instrText>
      </w:r>
      <w:r w:rsidR="00680D95">
        <w:fldChar w:fldCharType="separate"/>
      </w:r>
      <w:r w:rsidR="000F1791">
        <w:rPr>
          <w:noProof/>
        </w:rPr>
        <w:t>6</w:t>
      </w:r>
      <w:r w:rsidR="00680D95">
        <w:fldChar w:fldCharType="end"/>
      </w:r>
      <w:r>
        <w:t>. Финансиране на инфраструктура за управление на отпадъците по ОПОС 2014-2020 г.</w:t>
      </w:r>
      <w:bookmarkEnd w:id="21"/>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268"/>
        <w:gridCol w:w="2126"/>
        <w:gridCol w:w="1560"/>
        <w:gridCol w:w="1559"/>
      </w:tblGrid>
      <w:tr w:rsidR="00CC0B65" w:rsidRPr="00F42DD8" w:rsidTr="00F42DD8">
        <w:trPr>
          <w:trHeight w:val="1257"/>
          <w:tblHeader/>
        </w:trPr>
        <w:tc>
          <w:tcPr>
            <w:tcW w:w="1858" w:type="dxa"/>
            <w:shd w:val="clear" w:color="auto" w:fill="auto"/>
            <w:noWrap/>
            <w:vAlign w:val="center"/>
            <w:hideMark/>
          </w:tcPr>
          <w:p w:rsidR="00CC0B65" w:rsidRPr="00ED0F9B" w:rsidRDefault="00991CF5" w:rsidP="00CC0B65">
            <w:pPr>
              <w:spacing w:after="0"/>
              <w:jc w:val="center"/>
              <w:rPr>
                <w:rFonts w:ascii="Calibri" w:eastAsia="Times New Roman" w:hAnsi="Calibri"/>
                <w:b/>
                <w:color w:val="000000"/>
                <w:sz w:val="20"/>
                <w:szCs w:val="20"/>
                <w:lang w:eastAsia="en-GB"/>
              </w:rPr>
            </w:pPr>
            <w:r w:rsidRPr="00ED0F9B">
              <w:rPr>
                <w:rFonts w:ascii="Calibri" w:eastAsia="Times New Roman" w:hAnsi="Calibri"/>
                <w:b/>
                <w:color w:val="000000"/>
                <w:sz w:val="20"/>
                <w:szCs w:val="20"/>
                <w:lang w:eastAsia="en-GB"/>
              </w:rPr>
              <w:t>Договори с РСУО</w:t>
            </w:r>
          </w:p>
        </w:tc>
        <w:tc>
          <w:tcPr>
            <w:tcW w:w="2268" w:type="dxa"/>
            <w:shd w:val="clear" w:color="auto" w:fill="auto"/>
            <w:vAlign w:val="center"/>
            <w:hideMark/>
          </w:tcPr>
          <w:p w:rsidR="00CC0B65" w:rsidRPr="00CC0B65" w:rsidRDefault="00CC0B65" w:rsidP="00CC0B65">
            <w:pPr>
              <w:spacing w:after="0"/>
              <w:jc w:val="center"/>
              <w:rPr>
                <w:rFonts w:ascii="Calibri" w:eastAsia="Times New Roman" w:hAnsi="Calibri"/>
                <w:b/>
                <w:bCs/>
                <w:color w:val="000000"/>
                <w:sz w:val="20"/>
                <w:szCs w:val="20"/>
                <w:lang w:val="en-GB" w:eastAsia="en-GB"/>
              </w:rPr>
            </w:pPr>
            <w:r w:rsidRPr="00CC0B65">
              <w:rPr>
                <w:rFonts w:ascii="Calibri" w:eastAsia="Times New Roman" w:hAnsi="Calibri"/>
                <w:b/>
                <w:bCs/>
                <w:color w:val="000000"/>
                <w:sz w:val="20"/>
                <w:szCs w:val="20"/>
                <w:lang w:val="en-GB" w:eastAsia="en-GB"/>
              </w:rPr>
              <w:t>Капацитет на изградени инсталации за предварително третиране (т/год)</w:t>
            </w:r>
          </w:p>
        </w:tc>
        <w:tc>
          <w:tcPr>
            <w:tcW w:w="2126" w:type="dxa"/>
            <w:shd w:val="clear" w:color="auto" w:fill="auto"/>
            <w:vAlign w:val="center"/>
            <w:hideMark/>
          </w:tcPr>
          <w:p w:rsidR="00CC0B65" w:rsidRPr="00CC0B65" w:rsidRDefault="00CC0B65" w:rsidP="00CC0B65">
            <w:pPr>
              <w:spacing w:after="0"/>
              <w:jc w:val="center"/>
              <w:rPr>
                <w:rFonts w:ascii="Calibri" w:eastAsia="Times New Roman" w:hAnsi="Calibri"/>
                <w:b/>
                <w:bCs/>
                <w:color w:val="000000"/>
                <w:sz w:val="20"/>
                <w:szCs w:val="20"/>
                <w:lang w:val="en-GB" w:eastAsia="en-GB"/>
              </w:rPr>
            </w:pPr>
            <w:r w:rsidRPr="00CC0B65">
              <w:rPr>
                <w:rFonts w:ascii="Calibri" w:eastAsia="Times New Roman" w:hAnsi="Calibri"/>
                <w:b/>
                <w:bCs/>
                <w:color w:val="000000"/>
                <w:sz w:val="20"/>
                <w:szCs w:val="20"/>
                <w:lang w:val="en-GB" w:eastAsia="en-GB"/>
              </w:rPr>
              <w:t>Капацитет на изградени инсталации за компостиране (т/год)</w:t>
            </w:r>
          </w:p>
        </w:tc>
        <w:tc>
          <w:tcPr>
            <w:tcW w:w="1560" w:type="dxa"/>
            <w:shd w:val="clear" w:color="auto" w:fill="auto"/>
            <w:vAlign w:val="center"/>
            <w:hideMark/>
          </w:tcPr>
          <w:p w:rsidR="00CC0B65" w:rsidRPr="00CC0B65" w:rsidRDefault="00CC0B65" w:rsidP="00CC0B65">
            <w:pPr>
              <w:spacing w:after="0"/>
              <w:jc w:val="center"/>
              <w:rPr>
                <w:rFonts w:ascii="Calibri" w:eastAsia="Times New Roman" w:hAnsi="Calibri"/>
                <w:b/>
                <w:bCs/>
                <w:color w:val="000000"/>
                <w:sz w:val="20"/>
                <w:szCs w:val="20"/>
                <w:lang w:val="en-GB" w:eastAsia="en-GB"/>
              </w:rPr>
            </w:pPr>
            <w:r w:rsidRPr="00CC0B65">
              <w:rPr>
                <w:rFonts w:ascii="Calibri" w:eastAsia="Times New Roman" w:hAnsi="Calibri"/>
                <w:b/>
                <w:bCs/>
                <w:color w:val="000000"/>
                <w:sz w:val="20"/>
                <w:szCs w:val="20"/>
                <w:lang w:val="en-GB" w:eastAsia="en-GB"/>
              </w:rPr>
              <w:t>Капацитет на изградени анаеробни инсталации (т/год)</w:t>
            </w:r>
          </w:p>
        </w:tc>
        <w:tc>
          <w:tcPr>
            <w:tcW w:w="1559" w:type="dxa"/>
            <w:shd w:val="clear" w:color="auto" w:fill="auto"/>
            <w:vAlign w:val="center"/>
            <w:hideMark/>
          </w:tcPr>
          <w:p w:rsidR="00CC0B65" w:rsidRPr="00CC0B65" w:rsidRDefault="00CC0B65" w:rsidP="00CC0B65">
            <w:pPr>
              <w:spacing w:after="0"/>
              <w:jc w:val="center"/>
              <w:rPr>
                <w:rFonts w:ascii="Calibri" w:eastAsia="Times New Roman" w:hAnsi="Calibri"/>
                <w:b/>
                <w:bCs/>
                <w:color w:val="000000"/>
                <w:sz w:val="20"/>
                <w:szCs w:val="20"/>
                <w:lang w:val="en-GB" w:eastAsia="en-GB"/>
              </w:rPr>
            </w:pPr>
            <w:r w:rsidRPr="00CC0B65">
              <w:rPr>
                <w:rFonts w:ascii="Calibri" w:eastAsia="Times New Roman" w:hAnsi="Calibri"/>
                <w:b/>
                <w:bCs/>
                <w:color w:val="000000"/>
                <w:sz w:val="20"/>
                <w:szCs w:val="20"/>
                <w:lang w:val="en-GB" w:eastAsia="en-GB"/>
              </w:rPr>
              <w:t>БФП (лв.)</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Пазарджик</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41 000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12 598</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13 929 186,40</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Пазарджик</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15 000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4 000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7 152 754,56</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Асеновград</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22 447</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11 994</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9 835 581,15</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Русе</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60"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17 845</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25 995 954,18</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Оряхово</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15 300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8 700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10 076 347,86</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Карлово</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6 500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3 499 732,13</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Карлово</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2 900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2 534 951,23</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Троян</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6 300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2 200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4 595 576,97</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Пловдив</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15 000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6 070 538,46</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Пловдив</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6 200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4 130 492,60</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Пловдив</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2 300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2 581 849,65</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Пловдив</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6 170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4 089 832,21</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Гоце Делчев</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12 300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2 100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6 870 739,69</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Ямбол</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2 400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2 549 369,15</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Сандански</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10 430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2 623</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7 066 340,38</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Харманли</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2 690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2 440 464,76</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Харманли</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3 000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2 687 917,68</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Монтана</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3 696</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2 793 352,70</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Монтана</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6 150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4 397 921,77</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Монтана</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3 004</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2 410 619,56</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Монтана</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2 128</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2 491 491,77</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Монтана</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2 257</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2 446 008,18</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lastRenderedPageBreak/>
              <w:t>Мадан</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4 197</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2 095</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6 736 381,56</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Севлиево</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3 900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1 832 720,53</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Костинброд</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20 997</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9 988</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13 017 333,47</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Благоевград</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24 117</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2 516</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8 982 862,96</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Благоевград</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60"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15 819</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30 150 205,53</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Златица</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5 678</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2 929</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6 616 178,41</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Бургас</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60"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30 652</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29 393 779,29</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Ботевград</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8 700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2 700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7 240 028,40</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Петрич</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10 481</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4 150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7 150 599,51</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Враца</w:t>
            </w:r>
          </w:p>
        </w:tc>
        <w:tc>
          <w:tcPr>
            <w:tcW w:w="2268"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8 000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4 400 662,69</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Разград</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30 932</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4 168</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8 591 056,88</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Доспат</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6 400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2 150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7 291 890,44</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Горна Малина</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12 000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4 000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7 234 203,76</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color w:val="000000"/>
                <w:sz w:val="20"/>
                <w:szCs w:val="20"/>
                <w:lang w:val="en-GB" w:eastAsia="en-GB"/>
              </w:rPr>
            </w:pPr>
            <w:r w:rsidRPr="00CC0B65">
              <w:rPr>
                <w:rFonts w:ascii="Calibri" w:eastAsia="Times New Roman" w:hAnsi="Calibri"/>
                <w:color w:val="000000"/>
                <w:sz w:val="20"/>
                <w:szCs w:val="20"/>
                <w:lang w:val="en-GB" w:eastAsia="en-GB"/>
              </w:rPr>
              <w:t>Елхово</w:t>
            </w:r>
          </w:p>
        </w:tc>
        <w:tc>
          <w:tcPr>
            <w:tcW w:w="2268"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1 600</w:t>
            </w:r>
          </w:p>
        </w:tc>
        <w:tc>
          <w:tcPr>
            <w:tcW w:w="2126"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4 000</w:t>
            </w:r>
          </w:p>
        </w:tc>
        <w:tc>
          <w:tcPr>
            <w:tcW w:w="1560" w:type="dxa"/>
            <w:shd w:val="clear" w:color="auto" w:fill="auto"/>
            <w:noWrap/>
            <w:vAlign w:val="bottom"/>
            <w:hideMark/>
          </w:tcPr>
          <w:p w:rsidR="0087713E" w:rsidRPr="0087713E" w:rsidRDefault="0087713E">
            <w:pPr>
              <w:rPr>
                <w:rFonts w:cstheme="minorHAnsi"/>
                <w:color w:val="000000"/>
                <w:sz w:val="18"/>
                <w:szCs w:val="18"/>
              </w:rPr>
            </w:pPr>
            <w:r w:rsidRPr="0087713E">
              <w:rPr>
                <w:rFonts w:cstheme="minorHAnsi"/>
                <w:color w:val="000000"/>
                <w:sz w:val="18"/>
                <w:szCs w:val="18"/>
              </w:rPr>
              <w:t> </w:t>
            </w:r>
          </w:p>
        </w:tc>
        <w:tc>
          <w:tcPr>
            <w:tcW w:w="1559" w:type="dxa"/>
            <w:shd w:val="clear" w:color="auto" w:fill="auto"/>
            <w:noWrap/>
            <w:vAlign w:val="bottom"/>
            <w:hideMark/>
          </w:tcPr>
          <w:p w:rsidR="0087713E" w:rsidRPr="0087713E" w:rsidRDefault="0087713E">
            <w:pPr>
              <w:jc w:val="right"/>
              <w:rPr>
                <w:rFonts w:cstheme="minorHAnsi"/>
                <w:color w:val="000000"/>
                <w:sz w:val="18"/>
                <w:szCs w:val="18"/>
              </w:rPr>
            </w:pPr>
            <w:r w:rsidRPr="0087713E">
              <w:rPr>
                <w:rFonts w:cstheme="minorHAnsi"/>
                <w:color w:val="000000"/>
                <w:sz w:val="18"/>
                <w:szCs w:val="18"/>
              </w:rPr>
              <w:t>7 224 901,39</w:t>
            </w:r>
          </w:p>
        </w:tc>
      </w:tr>
      <w:tr w:rsidR="0087713E" w:rsidRPr="00CC0B65" w:rsidTr="00CC0B65">
        <w:trPr>
          <w:trHeight w:val="300"/>
        </w:trPr>
        <w:tc>
          <w:tcPr>
            <w:tcW w:w="1858" w:type="dxa"/>
            <w:shd w:val="clear" w:color="auto" w:fill="auto"/>
            <w:noWrap/>
            <w:vAlign w:val="bottom"/>
            <w:hideMark/>
          </w:tcPr>
          <w:p w:rsidR="0087713E" w:rsidRPr="00CC0B65" w:rsidRDefault="0087713E" w:rsidP="00CC0B65">
            <w:pPr>
              <w:spacing w:after="0"/>
              <w:jc w:val="left"/>
              <w:rPr>
                <w:rFonts w:ascii="Calibri" w:eastAsia="Times New Roman" w:hAnsi="Calibri"/>
                <w:b/>
                <w:bCs/>
                <w:color w:val="000000"/>
                <w:sz w:val="20"/>
                <w:szCs w:val="20"/>
                <w:lang w:val="en-GB" w:eastAsia="en-GB"/>
              </w:rPr>
            </w:pPr>
            <w:r w:rsidRPr="00CC0B65">
              <w:rPr>
                <w:rFonts w:ascii="Calibri" w:eastAsia="Times New Roman" w:hAnsi="Calibri"/>
                <w:b/>
                <w:bCs/>
                <w:color w:val="000000"/>
                <w:sz w:val="20"/>
                <w:szCs w:val="20"/>
                <w:lang w:val="en-GB" w:eastAsia="en-GB"/>
              </w:rPr>
              <w:t>ВСИЧКО</w:t>
            </w:r>
          </w:p>
        </w:tc>
        <w:tc>
          <w:tcPr>
            <w:tcW w:w="2268" w:type="dxa"/>
            <w:shd w:val="clear" w:color="auto" w:fill="auto"/>
            <w:noWrap/>
            <w:vAlign w:val="bottom"/>
            <w:hideMark/>
          </w:tcPr>
          <w:p w:rsidR="0087713E" w:rsidRPr="0087713E" w:rsidRDefault="0087713E">
            <w:pPr>
              <w:jc w:val="right"/>
              <w:rPr>
                <w:rFonts w:cstheme="minorHAnsi"/>
                <w:b/>
                <w:bCs/>
                <w:color w:val="000000"/>
                <w:sz w:val="18"/>
                <w:szCs w:val="18"/>
              </w:rPr>
            </w:pPr>
            <w:r w:rsidRPr="0087713E">
              <w:rPr>
                <w:rFonts w:cstheme="minorHAnsi"/>
                <w:b/>
                <w:bCs/>
                <w:color w:val="000000"/>
                <w:sz w:val="18"/>
                <w:szCs w:val="18"/>
              </w:rPr>
              <w:t>247 879,35</w:t>
            </w:r>
          </w:p>
        </w:tc>
        <w:tc>
          <w:tcPr>
            <w:tcW w:w="2126" w:type="dxa"/>
            <w:shd w:val="clear" w:color="auto" w:fill="auto"/>
            <w:noWrap/>
            <w:vAlign w:val="bottom"/>
            <w:hideMark/>
          </w:tcPr>
          <w:p w:rsidR="0087713E" w:rsidRPr="0087713E" w:rsidRDefault="0087713E">
            <w:pPr>
              <w:jc w:val="right"/>
              <w:rPr>
                <w:rFonts w:cstheme="minorHAnsi"/>
                <w:b/>
                <w:bCs/>
                <w:color w:val="000000"/>
                <w:sz w:val="18"/>
                <w:szCs w:val="18"/>
              </w:rPr>
            </w:pPr>
            <w:r w:rsidRPr="0087713E">
              <w:rPr>
                <w:rFonts w:cstheme="minorHAnsi"/>
                <w:b/>
                <w:bCs/>
                <w:color w:val="000000"/>
                <w:sz w:val="18"/>
                <w:szCs w:val="18"/>
              </w:rPr>
              <w:t>159 205,94</w:t>
            </w:r>
          </w:p>
        </w:tc>
        <w:tc>
          <w:tcPr>
            <w:tcW w:w="1560" w:type="dxa"/>
            <w:shd w:val="clear" w:color="auto" w:fill="auto"/>
            <w:noWrap/>
            <w:vAlign w:val="bottom"/>
            <w:hideMark/>
          </w:tcPr>
          <w:p w:rsidR="0087713E" w:rsidRPr="0087713E" w:rsidRDefault="0087713E">
            <w:pPr>
              <w:jc w:val="right"/>
              <w:rPr>
                <w:rFonts w:cstheme="minorHAnsi"/>
                <w:b/>
                <w:bCs/>
                <w:color w:val="000000"/>
                <w:sz w:val="18"/>
                <w:szCs w:val="18"/>
              </w:rPr>
            </w:pPr>
            <w:r w:rsidRPr="0087713E">
              <w:rPr>
                <w:rFonts w:cstheme="minorHAnsi"/>
                <w:b/>
                <w:bCs/>
                <w:color w:val="000000"/>
                <w:sz w:val="18"/>
                <w:szCs w:val="18"/>
              </w:rPr>
              <w:t>64 316,00</w:t>
            </w:r>
          </w:p>
        </w:tc>
        <w:tc>
          <w:tcPr>
            <w:tcW w:w="1559" w:type="dxa"/>
            <w:shd w:val="clear" w:color="auto" w:fill="auto"/>
            <w:noWrap/>
            <w:vAlign w:val="bottom"/>
            <w:hideMark/>
          </w:tcPr>
          <w:p w:rsidR="0087713E" w:rsidRPr="0087713E" w:rsidRDefault="0087713E">
            <w:pPr>
              <w:jc w:val="right"/>
              <w:rPr>
                <w:rFonts w:cstheme="minorHAnsi"/>
                <w:b/>
                <w:bCs/>
                <w:color w:val="000000"/>
                <w:sz w:val="18"/>
                <w:szCs w:val="18"/>
              </w:rPr>
            </w:pPr>
            <w:r w:rsidRPr="0087713E">
              <w:rPr>
                <w:rFonts w:cstheme="minorHAnsi"/>
                <w:b/>
                <w:bCs/>
                <w:color w:val="000000"/>
                <w:sz w:val="18"/>
                <w:szCs w:val="18"/>
              </w:rPr>
              <w:t>276 509 827,86</w:t>
            </w:r>
          </w:p>
        </w:tc>
      </w:tr>
    </w:tbl>
    <w:p w:rsidR="00E23F19" w:rsidRDefault="00CC0B65" w:rsidP="00CC0B65">
      <w:pPr>
        <w:jc w:val="center"/>
      </w:pPr>
      <w:r>
        <w:t>Източник: МОСВ</w:t>
      </w:r>
    </w:p>
    <w:p w:rsidR="00CC0B65" w:rsidRDefault="006849C3" w:rsidP="0006204E">
      <w:r>
        <w:t>Въз основа на информацията от договорените проекти са изчислени разходи на 1 тон капацитет за съответните инсталации. Изчислените стойности ще бъдат използвани при остойностяването на инвестиционните мерки в НПУО</w:t>
      </w:r>
      <w:r w:rsidR="00116049">
        <w:t xml:space="preserve"> 2021-2028 г</w:t>
      </w:r>
      <w:r>
        <w:t>.</w:t>
      </w:r>
    </w:p>
    <w:p w:rsidR="006849C3" w:rsidRDefault="00F70A49" w:rsidP="00F70A49">
      <w:pPr>
        <w:pStyle w:val="Caption"/>
      </w:pPr>
      <w:bookmarkStart w:id="22" w:name="_Toc45719031"/>
      <w:r>
        <w:t xml:space="preserve">Таблица </w:t>
      </w:r>
      <w:r w:rsidR="00680D95">
        <w:fldChar w:fldCharType="begin"/>
      </w:r>
      <w:r>
        <w:instrText xml:space="preserve"> SEQ Таблица \* ARABIC </w:instrText>
      </w:r>
      <w:r w:rsidR="00680D95">
        <w:fldChar w:fldCharType="separate"/>
      </w:r>
      <w:r w:rsidR="000F1791">
        <w:rPr>
          <w:noProof/>
        </w:rPr>
        <w:t>7</w:t>
      </w:r>
      <w:r w:rsidR="00680D95">
        <w:fldChar w:fldCharType="end"/>
      </w:r>
      <w:r>
        <w:t>. Разходи на 1 тон капацитет на инсталациите за третиране на отпадъци</w:t>
      </w:r>
      <w:bookmarkEnd w:id="22"/>
    </w:p>
    <w:tbl>
      <w:tblPr>
        <w:tblW w:w="9087" w:type="dxa"/>
        <w:tblInd w:w="93" w:type="dxa"/>
        <w:tblLook w:val="04A0" w:firstRow="1" w:lastRow="0" w:firstColumn="1" w:lastColumn="0" w:noHBand="0" w:noVBand="1"/>
      </w:tblPr>
      <w:tblGrid>
        <w:gridCol w:w="2740"/>
        <w:gridCol w:w="2095"/>
        <w:gridCol w:w="2126"/>
        <w:gridCol w:w="2126"/>
      </w:tblGrid>
      <w:tr w:rsidR="006849C3" w:rsidRPr="006849C3" w:rsidTr="00F70A49">
        <w:trPr>
          <w:trHeight w:val="1200"/>
          <w:tblHead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49C3" w:rsidRPr="006849C3" w:rsidRDefault="006849C3" w:rsidP="00F70A49">
            <w:pPr>
              <w:spacing w:after="0"/>
              <w:jc w:val="center"/>
              <w:rPr>
                <w:rFonts w:ascii="Calibri" w:eastAsia="Times New Roman" w:hAnsi="Calibri"/>
                <w:color w:val="000000"/>
                <w:sz w:val="22"/>
                <w:lang w:val="en-GB" w:eastAsia="en-GB"/>
              </w:rPr>
            </w:pPr>
          </w:p>
        </w:tc>
        <w:tc>
          <w:tcPr>
            <w:tcW w:w="2095" w:type="dxa"/>
            <w:tcBorders>
              <w:top w:val="single" w:sz="4" w:space="0" w:color="auto"/>
              <w:left w:val="nil"/>
              <w:bottom w:val="single" w:sz="4" w:space="0" w:color="auto"/>
              <w:right w:val="single" w:sz="4" w:space="0" w:color="auto"/>
            </w:tcBorders>
            <w:shd w:val="clear" w:color="auto" w:fill="auto"/>
            <w:vAlign w:val="center"/>
            <w:hideMark/>
          </w:tcPr>
          <w:p w:rsidR="006849C3" w:rsidRPr="006849C3" w:rsidRDefault="006849C3" w:rsidP="00F70A49">
            <w:pPr>
              <w:spacing w:after="0"/>
              <w:jc w:val="center"/>
              <w:rPr>
                <w:rFonts w:ascii="Calibri" w:eastAsia="Times New Roman" w:hAnsi="Calibri"/>
                <w:b/>
                <w:bCs/>
                <w:color w:val="000000"/>
                <w:sz w:val="22"/>
                <w:lang w:val="en-GB" w:eastAsia="en-GB"/>
              </w:rPr>
            </w:pPr>
            <w:r w:rsidRPr="006849C3">
              <w:rPr>
                <w:rFonts w:ascii="Calibri" w:eastAsia="Times New Roman" w:hAnsi="Calibri"/>
                <w:b/>
                <w:bCs/>
                <w:color w:val="000000"/>
                <w:sz w:val="22"/>
                <w:lang w:val="en-GB" w:eastAsia="en-GB"/>
              </w:rPr>
              <w:t>Инсталации за предварително третиране на смесени отпадъци</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6849C3" w:rsidRPr="006849C3" w:rsidRDefault="006849C3" w:rsidP="00F70A49">
            <w:pPr>
              <w:spacing w:after="0"/>
              <w:jc w:val="center"/>
              <w:rPr>
                <w:rFonts w:ascii="Calibri" w:eastAsia="Times New Roman" w:hAnsi="Calibri"/>
                <w:b/>
                <w:bCs/>
                <w:color w:val="000000"/>
                <w:sz w:val="22"/>
                <w:lang w:val="en-GB" w:eastAsia="en-GB"/>
              </w:rPr>
            </w:pPr>
            <w:r w:rsidRPr="006849C3">
              <w:rPr>
                <w:rFonts w:ascii="Calibri" w:eastAsia="Times New Roman" w:hAnsi="Calibri"/>
                <w:b/>
                <w:bCs/>
                <w:color w:val="000000"/>
                <w:sz w:val="22"/>
                <w:lang w:val="en-GB" w:eastAsia="en-GB"/>
              </w:rPr>
              <w:t>Исталации за компостиране на зелени отпадъци</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6849C3" w:rsidRPr="006849C3" w:rsidRDefault="006849C3" w:rsidP="00F70A49">
            <w:pPr>
              <w:spacing w:after="0"/>
              <w:jc w:val="center"/>
              <w:rPr>
                <w:rFonts w:ascii="Calibri" w:eastAsia="Times New Roman" w:hAnsi="Calibri"/>
                <w:b/>
                <w:bCs/>
                <w:color w:val="000000"/>
                <w:sz w:val="22"/>
                <w:lang w:val="en-GB" w:eastAsia="en-GB"/>
              </w:rPr>
            </w:pPr>
            <w:r w:rsidRPr="006849C3">
              <w:rPr>
                <w:rFonts w:ascii="Calibri" w:eastAsia="Times New Roman" w:hAnsi="Calibri"/>
                <w:b/>
                <w:bCs/>
                <w:color w:val="000000"/>
                <w:sz w:val="22"/>
                <w:lang w:val="en-GB" w:eastAsia="en-GB"/>
              </w:rPr>
              <w:t>Инсталации за анаеробно третиране на биоотпадъци</w:t>
            </w:r>
          </w:p>
        </w:tc>
      </w:tr>
      <w:tr w:rsidR="006849C3" w:rsidRPr="006849C3" w:rsidTr="006849C3">
        <w:trPr>
          <w:trHeight w:val="600"/>
        </w:trPr>
        <w:tc>
          <w:tcPr>
            <w:tcW w:w="2740" w:type="dxa"/>
            <w:tcBorders>
              <w:top w:val="nil"/>
              <w:left w:val="single" w:sz="4" w:space="0" w:color="auto"/>
              <w:bottom w:val="single" w:sz="4" w:space="0" w:color="auto"/>
              <w:right w:val="single" w:sz="4" w:space="0" w:color="auto"/>
            </w:tcBorders>
            <w:shd w:val="clear" w:color="auto" w:fill="auto"/>
            <w:vAlign w:val="bottom"/>
            <w:hideMark/>
          </w:tcPr>
          <w:p w:rsidR="006849C3" w:rsidRPr="006849C3" w:rsidRDefault="006849C3" w:rsidP="006849C3">
            <w:pPr>
              <w:spacing w:after="0"/>
              <w:jc w:val="left"/>
              <w:rPr>
                <w:rFonts w:ascii="Calibri" w:eastAsia="Times New Roman" w:hAnsi="Calibri"/>
                <w:color w:val="000000"/>
                <w:sz w:val="22"/>
                <w:lang w:val="en-GB" w:eastAsia="en-GB"/>
              </w:rPr>
            </w:pPr>
            <w:r w:rsidRPr="006849C3">
              <w:rPr>
                <w:rFonts w:ascii="Calibri" w:eastAsia="Times New Roman" w:hAnsi="Calibri"/>
                <w:color w:val="000000"/>
                <w:sz w:val="22"/>
                <w:lang w:val="en-GB" w:eastAsia="en-GB"/>
              </w:rPr>
              <w:t>Всичко разходи по проектите (лв.)</w:t>
            </w:r>
          </w:p>
        </w:tc>
        <w:tc>
          <w:tcPr>
            <w:tcW w:w="2095"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247 879,</w:t>
            </w:r>
            <w:r w:rsidR="006849C3" w:rsidRPr="006849C3">
              <w:rPr>
                <w:rFonts w:ascii="Calibri" w:eastAsia="Times New Roman" w:hAnsi="Calibri"/>
                <w:color w:val="000000"/>
                <w:sz w:val="22"/>
                <w:lang w:val="en-GB" w:eastAsia="en-GB"/>
              </w:rPr>
              <w:t>35</w:t>
            </w:r>
          </w:p>
        </w:tc>
        <w:tc>
          <w:tcPr>
            <w:tcW w:w="2126"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159 205,</w:t>
            </w:r>
            <w:r w:rsidR="006849C3" w:rsidRPr="006849C3">
              <w:rPr>
                <w:rFonts w:ascii="Calibri" w:eastAsia="Times New Roman" w:hAnsi="Calibri"/>
                <w:color w:val="000000"/>
                <w:sz w:val="22"/>
                <w:lang w:val="en-GB" w:eastAsia="en-GB"/>
              </w:rPr>
              <w:t>94</w:t>
            </w:r>
          </w:p>
        </w:tc>
        <w:tc>
          <w:tcPr>
            <w:tcW w:w="2126"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64 316,</w:t>
            </w:r>
            <w:r w:rsidR="006849C3" w:rsidRPr="006849C3">
              <w:rPr>
                <w:rFonts w:ascii="Calibri" w:eastAsia="Times New Roman" w:hAnsi="Calibri"/>
                <w:color w:val="000000"/>
                <w:sz w:val="22"/>
                <w:lang w:val="en-GB" w:eastAsia="en-GB"/>
              </w:rPr>
              <w:t>00</w:t>
            </w:r>
          </w:p>
        </w:tc>
      </w:tr>
      <w:tr w:rsidR="006849C3" w:rsidRPr="006849C3" w:rsidTr="006849C3">
        <w:trPr>
          <w:trHeight w:val="1200"/>
        </w:trPr>
        <w:tc>
          <w:tcPr>
            <w:tcW w:w="2740" w:type="dxa"/>
            <w:tcBorders>
              <w:top w:val="nil"/>
              <w:left w:val="single" w:sz="4" w:space="0" w:color="auto"/>
              <w:bottom w:val="single" w:sz="4" w:space="0" w:color="auto"/>
              <w:right w:val="single" w:sz="4" w:space="0" w:color="auto"/>
            </w:tcBorders>
            <w:shd w:val="clear" w:color="auto" w:fill="auto"/>
            <w:vAlign w:val="bottom"/>
            <w:hideMark/>
          </w:tcPr>
          <w:p w:rsidR="006849C3" w:rsidRPr="006849C3" w:rsidRDefault="006849C3" w:rsidP="006849C3">
            <w:pPr>
              <w:spacing w:after="0"/>
              <w:jc w:val="left"/>
              <w:rPr>
                <w:rFonts w:ascii="Calibri" w:eastAsia="Times New Roman" w:hAnsi="Calibri"/>
                <w:color w:val="000000"/>
                <w:sz w:val="22"/>
                <w:lang w:val="en-GB" w:eastAsia="en-GB"/>
              </w:rPr>
            </w:pPr>
            <w:r w:rsidRPr="006849C3">
              <w:rPr>
                <w:rFonts w:ascii="Calibri" w:eastAsia="Times New Roman" w:hAnsi="Calibri"/>
                <w:color w:val="000000"/>
                <w:sz w:val="22"/>
                <w:lang w:val="en-GB" w:eastAsia="en-GB"/>
              </w:rPr>
              <w:t>Пропорционален дял на съответната инсталация в общите разходи по проекта (на база тонаж)</w:t>
            </w:r>
          </w:p>
        </w:tc>
        <w:tc>
          <w:tcPr>
            <w:tcW w:w="2095"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0,</w:t>
            </w:r>
            <w:r w:rsidR="006849C3" w:rsidRPr="006849C3">
              <w:rPr>
                <w:rFonts w:ascii="Calibri" w:eastAsia="Times New Roman" w:hAnsi="Calibri"/>
                <w:color w:val="000000"/>
                <w:sz w:val="22"/>
                <w:lang w:val="en-GB" w:eastAsia="en-GB"/>
              </w:rPr>
              <w:t>61</w:t>
            </w:r>
          </w:p>
        </w:tc>
        <w:tc>
          <w:tcPr>
            <w:tcW w:w="2126"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0,</w:t>
            </w:r>
            <w:r w:rsidR="006849C3" w:rsidRPr="006849C3">
              <w:rPr>
                <w:rFonts w:ascii="Calibri" w:eastAsia="Times New Roman" w:hAnsi="Calibri"/>
                <w:color w:val="000000"/>
                <w:sz w:val="22"/>
                <w:lang w:val="en-GB" w:eastAsia="en-GB"/>
              </w:rPr>
              <w:t>39</w:t>
            </w:r>
          </w:p>
        </w:tc>
        <w:tc>
          <w:tcPr>
            <w:tcW w:w="2126"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0,</w:t>
            </w:r>
            <w:r w:rsidR="006849C3" w:rsidRPr="006849C3">
              <w:rPr>
                <w:rFonts w:ascii="Calibri" w:eastAsia="Times New Roman" w:hAnsi="Calibri"/>
                <w:color w:val="000000"/>
                <w:sz w:val="22"/>
                <w:lang w:val="en-GB" w:eastAsia="en-GB"/>
              </w:rPr>
              <w:t>14</w:t>
            </w:r>
          </w:p>
        </w:tc>
      </w:tr>
      <w:tr w:rsidR="006849C3" w:rsidRPr="006849C3" w:rsidTr="006849C3">
        <w:trPr>
          <w:trHeight w:val="1200"/>
        </w:trPr>
        <w:tc>
          <w:tcPr>
            <w:tcW w:w="2740" w:type="dxa"/>
            <w:tcBorders>
              <w:top w:val="nil"/>
              <w:left w:val="single" w:sz="4" w:space="0" w:color="auto"/>
              <w:bottom w:val="single" w:sz="4" w:space="0" w:color="auto"/>
              <w:right w:val="single" w:sz="4" w:space="0" w:color="auto"/>
            </w:tcBorders>
            <w:shd w:val="clear" w:color="auto" w:fill="auto"/>
            <w:vAlign w:val="bottom"/>
            <w:hideMark/>
          </w:tcPr>
          <w:p w:rsidR="006849C3" w:rsidRPr="006849C3" w:rsidRDefault="006849C3" w:rsidP="006849C3">
            <w:pPr>
              <w:spacing w:after="0"/>
              <w:jc w:val="left"/>
              <w:rPr>
                <w:rFonts w:ascii="Calibri" w:eastAsia="Times New Roman" w:hAnsi="Calibri"/>
                <w:color w:val="000000"/>
                <w:sz w:val="22"/>
                <w:lang w:val="en-GB" w:eastAsia="en-GB"/>
              </w:rPr>
            </w:pPr>
            <w:r w:rsidRPr="006849C3">
              <w:rPr>
                <w:rFonts w:ascii="Calibri" w:eastAsia="Times New Roman" w:hAnsi="Calibri"/>
                <w:color w:val="000000"/>
                <w:sz w:val="22"/>
                <w:lang w:val="en-GB" w:eastAsia="en-GB"/>
              </w:rPr>
              <w:t>Пропорционален дял на съответната инсталация в общите разходи по проекта (лв.)</w:t>
            </w:r>
          </w:p>
        </w:tc>
        <w:tc>
          <w:tcPr>
            <w:tcW w:w="2095"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136 877 714,</w:t>
            </w:r>
            <w:r w:rsidR="006849C3" w:rsidRPr="006849C3">
              <w:rPr>
                <w:rFonts w:ascii="Calibri" w:eastAsia="Times New Roman" w:hAnsi="Calibri"/>
                <w:color w:val="000000"/>
                <w:sz w:val="22"/>
                <w:lang w:val="en-GB" w:eastAsia="en-GB"/>
              </w:rPr>
              <w:t>27</w:t>
            </w:r>
          </w:p>
        </w:tc>
        <w:tc>
          <w:tcPr>
            <w:tcW w:w="2126"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121 840 344,</w:t>
            </w:r>
            <w:r w:rsidR="006849C3" w:rsidRPr="006849C3">
              <w:rPr>
                <w:rFonts w:ascii="Calibri" w:eastAsia="Times New Roman" w:hAnsi="Calibri"/>
                <w:color w:val="000000"/>
                <w:sz w:val="22"/>
                <w:lang w:val="en-GB" w:eastAsia="en-GB"/>
              </w:rPr>
              <w:t>99</w:t>
            </w:r>
          </w:p>
        </w:tc>
        <w:tc>
          <w:tcPr>
            <w:tcW w:w="2126"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108 732 901,</w:t>
            </w:r>
            <w:r w:rsidR="006849C3" w:rsidRPr="006849C3">
              <w:rPr>
                <w:rFonts w:ascii="Calibri" w:eastAsia="Times New Roman" w:hAnsi="Calibri"/>
                <w:color w:val="000000"/>
                <w:sz w:val="22"/>
                <w:lang w:val="en-GB" w:eastAsia="en-GB"/>
              </w:rPr>
              <w:t>95</w:t>
            </w:r>
          </w:p>
        </w:tc>
      </w:tr>
      <w:tr w:rsidR="006849C3" w:rsidRPr="006849C3" w:rsidTr="006849C3">
        <w:trPr>
          <w:trHeight w:val="900"/>
        </w:trPr>
        <w:tc>
          <w:tcPr>
            <w:tcW w:w="2740" w:type="dxa"/>
            <w:tcBorders>
              <w:top w:val="nil"/>
              <w:left w:val="single" w:sz="4" w:space="0" w:color="auto"/>
              <w:bottom w:val="single" w:sz="4" w:space="0" w:color="auto"/>
              <w:right w:val="single" w:sz="4" w:space="0" w:color="auto"/>
            </w:tcBorders>
            <w:shd w:val="clear" w:color="auto" w:fill="auto"/>
            <w:vAlign w:val="bottom"/>
            <w:hideMark/>
          </w:tcPr>
          <w:p w:rsidR="006849C3" w:rsidRPr="006849C3" w:rsidRDefault="006849C3" w:rsidP="006849C3">
            <w:pPr>
              <w:spacing w:after="0"/>
              <w:jc w:val="left"/>
              <w:rPr>
                <w:rFonts w:ascii="Calibri" w:eastAsia="Times New Roman" w:hAnsi="Calibri"/>
                <w:color w:val="000000"/>
                <w:sz w:val="22"/>
                <w:lang w:val="en-GB" w:eastAsia="en-GB"/>
              </w:rPr>
            </w:pPr>
            <w:r w:rsidRPr="006849C3">
              <w:rPr>
                <w:rFonts w:ascii="Calibri" w:eastAsia="Times New Roman" w:hAnsi="Calibri"/>
                <w:color w:val="000000"/>
                <w:sz w:val="22"/>
                <w:lang w:val="en-GB" w:eastAsia="en-GB"/>
              </w:rPr>
              <w:t>Разходи на 1 тон капацитет за съответната инсталация</w:t>
            </w:r>
          </w:p>
        </w:tc>
        <w:tc>
          <w:tcPr>
            <w:tcW w:w="2095"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552,</w:t>
            </w:r>
            <w:r w:rsidR="006849C3" w:rsidRPr="006849C3">
              <w:rPr>
                <w:rFonts w:ascii="Calibri" w:eastAsia="Times New Roman" w:hAnsi="Calibri"/>
                <w:color w:val="000000"/>
                <w:sz w:val="22"/>
                <w:lang w:val="en-GB" w:eastAsia="en-GB"/>
              </w:rPr>
              <w:t>19</w:t>
            </w:r>
          </w:p>
        </w:tc>
        <w:tc>
          <w:tcPr>
            <w:tcW w:w="2126"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765,</w:t>
            </w:r>
            <w:r w:rsidR="006849C3" w:rsidRPr="006849C3">
              <w:rPr>
                <w:rFonts w:ascii="Calibri" w:eastAsia="Times New Roman" w:hAnsi="Calibri"/>
                <w:color w:val="000000"/>
                <w:sz w:val="22"/>
                <w:lang w:val="en-GB" w:eastAsia="en-GB"/>
              </w:rPr>
              <w:t>30</w:t>
            </w:r>
          </w:p>
        </w:tc>
        <w:tc>
          <w:tcPr>
            <w:tcW w:w="2126" w:type="dxa"/>
            <w:tcBorders>
              <w:top w:val="nil"/>
              <w:left w:val="nil"/>
              <w:bottom w:val="single" w:sz="4" w:space="0" w:color="auto"/>
              <w:right w:val="single" w:sz="4" w:space="0" w:color="auto"/>
            </w:tcBorders>
            <w:shd w:val="clear" w:color="auto" w:fill="auto"/>
            <w:noWrap/>
            <w:vAlign w:val="bottom"/>
            <w:hideMark/>
          </w:tcPr>
          <w:p w:rsidR="006849C3" w:rsidRPr="006849C3" w:rsidRDefault="0017122C" w:rsidP="006849C3">
            <w:pPr>
              <w:spacing w:after="0"/>
              <w:jc w:val="right"/>
              <w:rPr>
                <w:rFonts w:ascii="Calibri" w:eastAsia="Times New Roman" w:hAnsi="Calibri"/>
                <w:color w:val="000000"/>
                <w:sz w:val="22"/>
                <w:lang w:val="en-GB" w:eastAsia="en-GB"/>
              </w:rPr>
            </w:pPr>
            <w:r>
              <w:rPr>
                <w:rFonts w:ascii="Calibri" w:eastAsia="Times New Roman" w:hAnsi="Calibri"/>
                <w:color w:val="000000"/>
                <w:sz w:val="22"/>
                <w:lang w:val="en-GB" w:eastAsia="en-GB"/>
              </w:rPr>
              <w:t>1 690,</w:t>
            </w:r>
            <w:r w:rsidR="006849C3" w:rsidRPr="006849C3">
              <w:rPr>
                <w:rFonts w:ascii="Calibri" w:eastAsia="Times New Roman" w:hAnsi="Calibri"/>
                <w:color w:val="000000"/>
                <w:sz w:val="22"/>
                <w:lang w:val="en-GB" w:eastAsia="en-GB"/>
              </w:rPr>
              <w:t>60</w:t>
            </w:r>
          </w:p>
        </w:tc>
      </w:tr>
    </w:tbl>
    <w:p w:rsidR="00F70A49" w:rsidRPr="002D2C6F" w:rsidRDefault="00F70A49" w:rsidP="00F70A49">
      <w:pPr>
        <w:jc w:val="center"/>
        <w:rPr>
          <w:i/>
        </w:rPr>
      </w:pPr>
      <w:r w:rsidRPr="002D2C6F">
        <w:rPr>
          <w:i/>
        </w:rPr>
        <w:t>Източник: МОСВ</w:t>
      </w:r>
      <w:r w:rsidR="00E43225" w:rsidRPr="002D2C6F">
        <w:rPr>
          <w:i/>
        </w:rPr>
        <w:t>, ОПОС 2014-2020</w:t>
      </w:r>
      <w:r w:rsidR="002D2C6F">
        <w:rPr>
          <w:i/>
        </w:rPr>
        <w:t>, собствени изчисления</w:t>
      </w:r>
      <w:r w:rsidR="00E43225" w:rsidRPr="002D2C6F">
        <w:rPr>
          <w:i/>
        </w:rPr>
        <w:t xml:space="preserve"> </w:t>
      </w:r>
    </w:p>
    <w:p w:rsidR="00CC0B65" w:rsidRDefault="00E43225" w:rsidP="0006204E">
      <w:r>
        <w:lastRenderedPageBreak/>
        <w:t>В допълнение към финансирането на инсталации за третиране на отпадъци, по ОПОС 2014-2020 г. са финансирани проекти по следните други направления:</w:t>
      </w:r>
    </w:p>
    <w:p w:rsidR="00676C3B" w:rsidRDefault="00F912D8" w:rsidP="00073E4D">
      <w:pPr>
        <w:pStyle w:val="ListParagraph"/>
        <w:numPr>
          <w:ilvl w:val="0"/>
          <w:numId w:val="12"/>
        </w:numPr>
        <w:ind w:left="714" w:hanging="357"/>
        <w:contextualSpacing w:val="0"/>
      </w:pPr>
      <w:hyperlink r:id="rId14" w:history="1">
        <w:r w:rsidR="00676C3B" w:rsidRPr="00676C3B">
          <w:t>Проектиране и изграждане на инсталация за комбинирано производство на енергия в София с оползотворяване на RDF – трета фаза на интегрирана система от съоръжения за третиране на битовите отпадъци на Столична община</w:t>
        </w:r>
      </w:hyperlink>
      <w:r w:rsidR="00676C3B">
        <w:rPr>
          <w:lang w:val="bg-BG"/>
        </w:rPr>
        <w:t xml:space="preserve"> - общо договорени средства </w:t>
      </w:r>
      <w:r w:rsidR="00676C3B" w:rsidRPr="00676C3B">
        <w:rPr>
          <w:szCs w:val="22"/>
        </w:rPr>
        <w:t>369 741 082.16</w:t>
      </w:r>
      <w:r w:rsidR="00676C3B" w:rsidRPr="00676C3B">
        <w:rPr>
          <w:szCs w:val="22"/>
          <w:lang w:val="bg-BG"/>
        </w:rPr>
        <w:t xml:space="preserve"> лв., в т.ч. 17</w:t>
      </w:r>
      <w:r w:rsidR="00190990">
        <w:rPr>
          <w:szCs w:val="22"/>
          <w:lang w:val="bg-BG"/>
        </w:rPr>
        <w:t>7</w:t>
      </w:r>
      <w:r w:rsidR="00676C3B">
        <w:t xml:space="preserve"> </w:t>
      </w:r>
      <w:r w:rsidR="00190990">
        <w:rPr>
          <w:lang w:val="bg-BG"/>
        </w:rPr>
        <w:t>629</w:t>
      </w:r>
      <w:r w:rsidR="00676C3B">
        <w:t xml:space="preserve"> </w:t>
      </w:r>
      <w:r w:rsidR="00190990">
        <w:rPr>
          <w:lang w:val="bg-BG"/>
        </w:rPr>
        <w:t>778</w:t>
      </w:r>
      <w:r w:rsidR="00676C3B" w:rsidRPr="00676C3B">
        <w:rPr>
          <w:szCs w:val="22"/>
          <w:lang w:val="bg-BG"/>
        </w:rPr>
        <w:t>.</w:t>
      </w:r>
      <w:r w:rsidR="00190990">
        <w:rPr>
          <w:szCs w:val="22"/>
          <w:lang w:val="bg-BG"/>
        </w:rPr>
        <w:t>24</w:t>
      </w:r>
      <w:r w:rsidR="00676C3B" w:rsidRPr="00676C3B">
        <w:t xml:space="preserve"> лв</w:t>
      </w:r>
      <w:r w:rsidR="00190990">
        <w:rPr>
          <w:lang w:val="bg-BG"/>
        </w:rPr>
        <w:t>.</w:t>
      </w:r>
      <w:r w:rsidR="00676C3B" w:rsidRPr="00676C3B">
        <w:t xml:space="preserve"> БФП</w:t>
      </w:r>
      <w:r w:rsidR="00AF0AAB">
        <w:rPr>
          <w:lang w:val="bg-BG"/>
        </w:rPr>
        <w:t>.</w:t>
      </w:r>
    </w:p>
    <w:p w:rsidR="00073E4D" w:rsidRPr="00190990" w:rsidRDefault="00E1590E" w:rsidP="00E1590E">
      <w:pPr>
        <w:pStyle w:val="ListParagraph"/>
        <w:numPr>
          <w:ilvl w:val="0"/>
          <w:numId w:val="12"/>
        </w:numPr>
        <w:contextualSpacing w:val="0"/>
        <w:rPr>
          <w:rFonts w:cstheme="minorHAnsi"/>
          <w:lang w:val="bg-BG"/>
        </w:rPr>
      </w:pPr>
      <w:r w:rsidRPr="00E1590E">
        <w:t>„Рекултивация на депа за закриване, предмет на процедура по нарушение на правото на ЕС по дело С-145/14 - общо договорени средства към 12.08.2020 г. по сключените 48 административни договори за БФП са 107 743 672,97 лв., в т.ч. 107 738 772,97 лв. БФП. 7 проектни предложения все още са в оценка. Общият бюджет по обявената процедура е 120 млн. лв. с възможност за увеличаване в зависимост от наличния свободен ресурс по приоритетна ос 2 „Отпадъци“</w:t>
      </w:r>
      <w:r w:rsidR="00190990" w:rsidRPr="00513DD4">
        <w:rPr>
          <w:rFonts w:cstheme="minorHAnsi"/>
          <w:lang w:val="bg-BG"/>
        </w:rPr>
        <w:t>.</w:t>
      </w:r>
    </w:p>
    <w:p w:rsidR="00344590" w:rsidRDefault="00344590" w:rsidP="00073E4D"/>
    <w:p w:rsidR="00E43225" w:rsidRDefault="00C4520D" w:rsidP="00C4520D">
      <w:pPr>
        <w:pStyle w:val="3"/>
      </w:pPr>
      <w:bookmarkStart w:id="23" w:name="_Toc68855853"/>
      <w:r>
        <w:t>Финансиране от общинските бюджети</w:t>
      </w:r>
      <w:bookmarkEnd w:id="23"/>
    </w:p>
    <w:p w:rsidR="008B68F9" w:rsidRDefault="008B68F9" w:rsidP="0006204E">
      <w:r>
        <w:t xml:space="preserve">В съответствие с отговорностите, вменени им по силата на ЗУО, </w:t>
      </w:r>
      <w:r w:rsidR="00A30338">
        <w:t>общините предоставят и финансират следните услуги</w:t>
      </w:r>
      <w:r w:rsidR="00D071AF">
        <w:t>,</w:t>
      </w:r>
      <w:r w:rsidR="00A30338">
        <w:t xml:space="preserve"> свързани с управлението на отпадъците:</w:t>
      </w:r>
    </w:p>
    <w:p w:rsidR="00A30338" w:rsidRPr="00A30338" w:rsidRDefault="00A30338" w:rsidP="00A30338">
      <w:pPr>
        <w:pStyle w:val="ListParagraph"/>
        <w:numPr>
          <w:ilvl w:val="0"/>
          <w:numId w:val="12"/>
        </w:numPr>
        <w:ind w:left="714" w:hanging="357"/>
        <w:contextualSpacing w:val="0"/>
      </w:pPr>
      <w:r w:rsidRPr="00A30338">
        <w:t xml:space="preserve">осигуряване на съдове за съхраняване на битовите отпадъци - контейнери, кофи и други </w:t>
      </w:r>
    </w:p>
    <w:p w:rsidR="00A30338" w:rsidRPr="00A30338" w:rsidRDefault="00A30338" w:rsidP="00A30338">
      <w:pPr>
        <w:pStyle w:val="ListParagraph"/>
        <w:numPr>
          <w:ilvl w:val="0"/>
          <w:numId w:val="12"/>
        </w:numPr>
        <w:ind w:left="714" w:hanging="357"/>
        <w:contextualSpacing w:val="0"/>
      </w:pPr>
      <w:r w:rsidRPr="00A30338">
        <w:t xml:space="preserve">събиране, включително разделно на битовите отпадъци и транспортирането им до депата или други инсталации и съоръжения за третирането им </w:t>
      </w:r>
    </w:p>
    <w:p w:rsidR="00A30338" w:rsidRPr="00A30338" w:rsidRDefault="00A30338" w:rsidP="00A30338">
      <w:pPr>
        <w:pStyle w:val="ListParagraph"/>
        <w:numPr>
          <w:ilvl w:val="0"/>
          <w:numId w:val="12"/>
        </w:numPr>
        <w:ind w:left="714" w:hanging="357"/>
        <w:contextualSpacing w:val="0"/>
      </w:pPr>
      <w:r w:rsidRPr="00A30338">
        <w:t xml:space="preserve">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 </w:t>
      </w:r>
    </w:p>
    <w:p w:rsidR="00A30338" w:rsidRPr="00A30338" w:rsidRDefault="00A30338" w:rsidP="00A30338">
      <w:pPr>
        <w:pStyle w:val="ListParagraph"/>
        <w:numPr>
          <w:ilvl w:val="0"/>
          <w:numId w:val="12"/>
        </w:numPr>
        <w:ind w:left="714" w:hanging="357"/>
        <w:contextualSpacing w:val="0"/>
      </w:pPr>
      <w:r w:rsidRPr="00A30338">
        <w:t xml:space="preserve">почистване на уличните платна, площадите, алеите, парковите и другите територии от населените места, предназначени за обществено ползване </w:t>
      </w:r>
    </w:p>
    <w:p w:rsidR="00A30338" w:rsidRDefault="00A30338" w:rsidP="0006204E">
      <w:r>
        <w:t>Разходите за предоставянето на тези услуги се финансират чрез постъпления от такса</w:t>
      </w:r>
      <w:r w:rsidR="00D071AF">
        <w:t xml:space="preserve"> </w:t>
      </w:r>
      <w:r w:rsidR="00FC650D">
        <w:t xml:space="preserve">за </w:t>
      </w:r>
      <w:r>
        <w:t>битови отпадъци, която населението и бизнеса заплащат на годишна база. Тези разходи се отчитат в общинските бюджети по дейност 623 "Чистота" по Единната бюджетна класификация (ЕБК).</w:t>
      </w:r>
      <w:r w:rsidR="006F2EAD">
        <w:t xml:space="preserve"> В допълнение към тези разходи, общините отчитат и други разходи по дейност "627 "Управление на дейностите по отпадъците", включващи разходи по проекти (ОПОС и др.). За целите на настоящия анализ, тези средства няма да се разглеждат, за да се избегне двойно броене. </w:t>
      </w:r>
    </w:p>
    <w:p w:rsidR="00A30338" w:rsidRDefault="00A30338" w:rsidP="0006204E"/>
    <w:p w:rsidR="00D071AF" w:rsidRDefault="00D071AF">
      <w:pPr>
        <w:spacing w:after="0"/>
        <w:jc w:val="left"/>
        <w:rPr>
          <w:rFonts w:eastAsia="Times New Roman"/>
          <w:b/>
          <w:bCs/>
          <w:szCs w:val="20"/>
          <w:lang w:eastAsia="bg-BG"/>
        </w:rPr>
      </w:pPr>
      <w:bookmarkStart w:id="24" w:name="_Toc45719032"/>
      <w:r>
        <w:br w:type="page"/>
      </w:r>
    </w:p>
    <w:p w:rsidR="00C4520D" w:rsidRDefault="008B68F9" w:rsidP="008B68F9">
      <w:pPr>
        <w:pStyle w:val="Caption"/>
      </w:pPr>
      <w:r>
        <w:lastRenderedPageBreak/>
        <w:t xml:space="preserve">Таблица </w:t>
      </w:r>
      <w:r w:rsidR="00680D95">
        <w:fldChar w:fldCharType="begin"/>
      </w:r>
      <w:r>
        <w:instrText xml:space="preserve"> SEQ Таблица \* ARABIC </w:instrText>
      </w:r>
      <w:r w:rsidR="00680D95">
        <w:fldChar w:fldCharType="separate"/>
      </w:r>
      <w:r w:rsidR="000F1791">
        <w:rPr>
          <w:noProof/>
        </w:rPr>
        <w:t>8</w:t>
      </w:r>
      <w:r w:rsidR="00680D95">
        <w:fldChar w:fldCharType="end"/>
      </w:r>
      <w:r>
        <w:t>. Разходи за управление на отпадъците, финансирани от общините</w:t>
      </w:r>
      <w:bookmarkEnd w:id="24"/>
    </w:p>
    <w:tbl>
      <w:tblPr>
        <w:tblW w:w="10080" w:type="dxa"/>
        <w:jc w:val="center"/>
        <w:tblLook w:val="04A0" w:firstRow="1" w:lastRow="0" w:firstColumn="1" w:lastColumn="0" w:noHBand="0" w:noVBand="1"/>
      </w:tblPr>
      <w:tblGrid>
        <w:gridCol w:w="2283"/>
        <w:gridCol w:w="1276"/>
        <w:gridCol w:w="1276"/>
        <w:gridCol w:w="1264"/>
        <w:gridCol w:w="1264"/>
        <w:gridCol w:w="1299"/>
        <w:gridCol w:w="1418"/>
      </w:tblGrid>
      <w:tr w:rsidR="008B68F9" w:rsidRPr="008B68F9" w:rsidTr="008E640E">
        <w:trPr>
          <w:trHeight w:val="315"/>
          <w:tblHeader/>
          <w:jc w:val="center"/>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68F9" w:rsidRPr="008B68F9" w:rsidRDefault="008B68F9" w:rsidP="008B68F9">
            <w:pPr>
              <w:spacing w:after="0"/>
              <w:jc w:val="left"/>
              <w:rPr>
                <w:rFonts w:eastAsia="Times New Roman"/>
                <w:color w:val="000000"/>
                <w:sz w:val="18"/>
                <w:szCs w:val="18"/>
                <w:lang w:val="en-GB" w:eastAsia="en-GB"/>
              </w:rPr>
            </w:pPr>
            <w:r w:rsidRPr="008B68F9">
              <w:rPr>
                <w:rFonts w:eastAsia="Times New Roman"/>
                <w:color w:val="000000"/>
                <w:sz w:val="18"/>
                <w:szCs w:val="18"/>
                <w:lang w:val="en-GB" w:eastAsia="en-GB"/>
              </w:rPr>
              <w:t>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8B68F9" w:rsidRPr="008B68F9" w:rsidRDefault="008B68F9" w:rsidP="008B68F9">
            <w:pPr>
              <w:spacing w:after="0"/>
              <w:jc w:val="center"/>
              <w:rPr>
                <w:rFonts w:eastAsia="Times New Roman"/>
                <w:b/>
                <w:bCs/>
                <w:color w:val="000000"/>
                <w:sz w:val="18"/>
                <w:szCs w:val="18"/>
                <w:lang w:val="en-GB" w:eastAsia="en-GB"/>
              </w:rPr>
            </w:pPr>
            <w:r w:rsidRPr="008B68F9">
              <w:rPr>
                <w:rFonts w:eastAsia="Times New Roman"/>
                <w:b/>
                <w:bCs/>
                <w:color w:val="000000"/>
                <w:sz w:val="18"/>
                <w:szCs w:val="18"/>
                <w:lang w:val="en-GB" w:eastAsia="en-GB"/>
              </w:rPr>
              <w:t>2013</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8B68F9" w:rsidRPr="008B68F9" w:rsidRDefault="008B68F9" w:rsidP="008B68F9">
            <w:pPr>
              <w:spacing w:after="0"/>
              <w:jc w:val="center"/>
              <w:rPr>
                <w:rFonts w:eastAsia="Times New Roman"/>
                <w:b/>
                <w:bCs/>
                <w:color w:val="000000"/>
                <w:sz w:val="18"/>
                <w:szCs w:val="18"/>
                <w:lang w:val="en-GB" w:eastAsia="en-GB"/>
              </w:rPr>
            </w:pPr>
            <w:r w:rsidRPr="008B68F9">
              <w:rPr>
                <w:rFonts w:eastAsia="Times New Roman"/>
                <w:b/>
                <w:bCs/>
                <w:color w:val="000000"/>
                <w:sz w:val="18"/>
                <w:szCs w:val="18"/>
                <w:lang w:val="en-GB" w:eastAsia="en-GB"/>
              </w:rPr>
              <w:t>2014</w:t>
            </w:r>
          </w:p>
        </w:tc>
        <w:tc>
          <w:tcPr>
            <w:tcW w:w="1264" w:type="dxa"/>
            <w:tcBorders>
              <w:top w:val="single" w:sz="4" w:space="0" w:color="auto"/>
              <w:left w:val="nil"/>
              <w:bottom w:val="single" w:sz="4" w:space="0" w:color="auto"/>
              <w:right w:val="single" w:sz="4" w:space="0" w:color="auto"/>
            </w:tcBorders>
            <w:shd w:val="clear" w:color="000000" w:fill="FFFFFF"/>
            <w:noWrap/>
            <w:vAlign w:val="center"/>
            <w:hideMark/>
          </w:tcPr>
          <w:p w:rsidR="008B68F9" w:rsidRPr="008B68F9" w:rsidRDefault="008B68F9" w:rsidP="008B68F9">
            <w:pPr>
              <w:spacing w:after="0"/>
              <w:jc w:val="center"/>
              <w:rPr>
                <w:rFonts w:eastAsia="Times New Roman"/>
                <w:b/>
                <w:bCs/>
                <w:color w:val="000000"/>
                <w:sz w:val="18"/>
                <w:szCs w:val="18"/>
                <w:lang w:val="en-GB" w:eastAsia="en-GB"/>
              </w:rPr>
            </w:pPr>
            <w:r w:rsidRPr="008B68F9">
              <w:rPr>
                <w:rFonts w:eastAsia="Times New Roman"/>
                <w:b/>
                <w:bCs/>
                <w:color w:val="000000"/>
                <w:sz w:val="18"/>
                <w:szCs w:val="18"/>
                <w:lang w:val="en-GB" w:eastAsia="en-GB"/>
              </w:rPr>
              <w:t>2015</w:t>
            </w:r>
          </w:p>
        </w:tc>
        <w:tc>
          <w:tcPr>
            <w:tcW w:w="1264" w:type="dxa"/>
            <w:tcBorders>
              <w:top w:val="single" w:sz="4" w:space="0" w:color="auto"/>
              <w:left w:val="nil"/>
              <w:bottom w:val="single" w:sz="4" w:space="0" w:color="auto"/>
              <w:right w:val="single" w:sz="4" w:space="0" w:color="auto"/>
            </w:tcBorders>
            <w:shd w:val="clear" w:color="000000" w:fill="FFFFFF"/>
            <w:noWrap/>
            <w:vAlign w:val="center"/>
            <w:hideMark/>
          </w:tcPr>
          <w:p w:rsidR="008B68F9" w:rsidRPr="008B68F9" w:rsidRDefault="008B68F9" w:rsidP="008B68F9">
            <w:pPr>
              <w:spacing w:after="0"/>
              <w:jc w:val="center"/>
              <w:rPr>
                <w:rFonts w:eastAsia="Times New Roman"/>
                <w:b/>
                <w:bCs/>
                <w:color w:val="000000"/>
                <w:sz w:val="18"/>
                <w:szCs w:val="18"/>
                <w:lang w:val="en-GB" w:eastAsia="en-GB"/>
              </w:rPr>
            </w:pPr>
            <w:r w:rsidRPr="008B68F9">
              <w:rPr>
                <w:rFonts w:eastAsia="Times New Roman"/>
                <w:b/>
                <w:bCs/>
                <w:color w:val="000000"/>
                <w:sz w:val="18"/>
                <w:szCs w:val="18"/>
                <w:lang w:val="en-GB" w:eastAsia="en-GB"/>
              </w:rPr>
              <w:t>2016</w:t>
            </w:r>
          </w:p>
        </w:tc>
        <w:tc>
          <w:tcPr>
            <w:tcW w:w="1299" w:type="dxa"/>
            <w:tcBorders>
              <w:top w:val="single" w:sz="4" w:space="0" w:color="auto"/>
              <w:left w:val="nil"/>
              <w:bottom w:val="single" w:sz="4" w:space="0" w:color="auto"/>
              <w:right w:val="single" w:sz="4" w:space="0" w:color="auto"/>
            </w:tcBorders>
            <w:shd w:val="clear" w:color="000000" w:fill="FFFFFF"/>
            <w:vAlign w:val="center"/>
            <w:hideMark/>
          </w:tcPr>
          <w:p w:rsidR="008B68F9" w:rsidRPr="008B68F9" w:rsidRDefault="008B68F9" w:rsidP="008B68F9">
            <w:pPr>
              <w:spacing w:after="0"/>
              <w:jc w:val="center"/>
              <w:rPr>
                <w:rFonts w:eastAsia="Times New Roman"/>
                <w:b/>
                <w:bCs/>
                <w:color w:val="000000"/>
                <w:sz w:val="18"/>
                <w:szCs w:val="18"/>
                <w:lang w:val="en-GB" w:eastAsia="en-GB"/>
              </w:rPr>
            </w:pPr>
            <w:r w:rsidRPr="008B68F9">
              <w:rPr>
                <w:rFonts w:eastAsia="Times New Roman"/>
                <w:b/>
                <w:bCs/>
                <w:color w:val="000000"/>
                <w:sz w:val="18"/>
                <w:szCs w:val="18"/>
                <w:lang w:val="en-GB" w:eastAsia="en-GB"/>
              </w:rPr>
              <w:t>2017</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8B68F9" w:rsidRPr="008B68F9" w:rsidRDefault="008B68F9" w:rsidP="008B68F9">
            <w:pPr>
              <w:spacing w:after="0"/>
              <w:jc w:val="center"/>
              <w:rPr>
                <w:rFonts w:eastAsia="Times New Roman"/>
                <w:b/>
                <w:bCs/>
                <w:color w:val="000000"/>
                <w:sz w:val="18"/>
                <w:szCs w:val="18"/>
                <w:lang w:val="en-GB" w:eastAsia="en-GB"/>
              </w:rPr>
            </w:pPr>
            <w:r w:rsidRPr="008B68F9">
              <w:rPr>
                <w:rFonts w:eastAsia="Times New Roman"/>
                <w:b/>
                <w:bCs/>
                <w:color w:val="000000"/>
                <w:sz w:val="18"/>
                <w:szCs w:val="18"/>
                <w:lang w:val="en-GB" w:eastAsia="en-GB"/>
              </w:rPr>
              <w:t>2018</w:t>
            </w:r>
          </w:p>
        </w:tc>
      </w:tr>
      <w:tr w:rsidR="00700A00" w:rsidRPr="008B68F9" w:rsidTr="008E640E">
        <w:trPr>
          <w:trHeight w:val="600"/>
          <w:jc w:val="center"/>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00A00" w:rsidRPr="008B68F9" w:rsidRDefault="00700A00" w:rsidP="008B68F9">
            <w:pPr>
              <w:spacing w:after="0"/>
              <w:jc w:val="left"/>
              <w:rPr>
                <w:rFonts w:eastAsia="Times New Roman"/>
                <w:color w:val="000000"/>
                <w:sz w:val="18"/>
                <w:szCs w:val="18"/>
                <w:lang w:eastAsia="en-GB"/>
              </w:rPr>
            </w:pPr>
            <w:r w:rsidRPr="008B68F9">
              <w:rPr>
                <w:rFonts w:eastAsia="Times New Roman"/>
                <w:color w:val="000000"/>
                <w:sz w:val="18"/>
                <w:szCs w:val="18"/>
                <w:lang w:val="en-GB" w:eastAsia="en-GB"/>
              </w:rPr>
              <w:t xml:space="preserve">Разходи по дейност 623 "Чистота" </w:t>
            </w:r>
            <w:r>
              <w:rPr>
                <w:rFonts w:eastAsia="Times New Roman"/>
                <w:color w:val="000000"/>
                <w:sz w:val="18"/>
                <w:szCs w:val="18"/>
                <w:lang w:eastAsia="en-GB"/>
              </w:rPr>
              <w:t xml:space="preserve"> (лв.)</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367 670 932</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370 616 612</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382 326 766</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435 999 720</w:t>
            </w:r>
          </w:p>
        </w:tc>
        <w:tc>
          <w:tcPr>
            <w:tcW w:w="1299"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459 699 537</w:t>
            </w:r>
          </w:p>
        </w:tc>
        <w:tc>
          <w:tcPr>
            <w:tcW w:w="1418"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498 791 553</w:t>
            </w:r>
          </w:p>
        </w:tc>
      </w:tr>
      <w:tr w:rsidR="00700A00" w:rsidRPr="008B68F9" w:rsidTr="008E640E">
        <w:trPr>
          <w:trHeight w:val="600"/>
          <w:jc w:val="center"/>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00A00" w:rsidRPr="008B68F9" w:rsidRDefault="00700A00" w:rsidP="008B68F9">
            <w:pPr>
              <w:spacing w:after="0"/>
              <w:jc w:val="left"/>
              <w:rPr>
                <w:rFonts w:eastAsia="Times New Roman"/>
                <w:color w:val="000000"/>
                <w:sz w:val="18"/>
                <w:szCs w:val="18"/>
                <w:lang w:eastAsia="en-GB"/>
              </w:rPr>
            </w:pPr>
            <w:r w:rsidRPr="008B68F9">
              <w:rPr>
                <w:rFonts w:eastAsia="Times New Roman"/>
                <w:color w:val="000000"/>
                <w:sz w:val="18"/>
                <w:szCs w:val="18"/>
                <w:lang w:val="en-GB" w:eastAsia="en-GB"/>
              </w:rPr>
              <w:t>Всичко бюджетни разходи на общините</w:t>
            </w:r>
            <w:r>
              <w:rPr>
                <w:rFonts w:eastAsia="Times New Roman"/>
                <w:color w:val="000000"/>
                <w:sz w:val="18"/>
                <w:szCs w:val="18"/>
                <w:lang w:eastAsia="en-GB"/>
              </w:rPr>
              <w:t xml:space="preserve"> (лв.)</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55 360 514</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59 057 566</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61 903 608</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74 292 511</w:t>
            </w:r>
          </w:p>
        </w:tc>
        <w:tc>
          <w:tcPr>
            <w:tcW w:w="1299"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65 704 018</w:t>
            </w:r>
          </w:p>
        </w:tc>
        <w:tc>
          <w:tcPr>
            <w:tcW w:w="1418"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85 442 959</w:t>
            </w:r>
          </w:p>
        </w:tc>
      </w:tr>
      <w:tr w:rsidR="00700A00" w:rsidRPr="008B68F9" w:rsidTr="008E640E">
        <w:trPr>
          <w:trHeight w:val="600"/>
          <w:jc w:val="center"/>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00A00" w:rsidRPr="008B68F9" w:rsidRDefault="00700A00" w:rsidP="008B68F9">
            <w:pPr>
              <w:spacing w:after="0"/>
              <w:jc w:val="left"/>
              <w:rPr>
                <w:rFonts w:eastAsia="Times New Roman"/>
                <w:b/>
                <w:bCs/>
                <w:color w:val="000000"/>
                <w:sz w:val="18"/>
                <w:szCs w:val="18"/>
                <w:lang w:val="en-GB" w:eastAsia="en-GB"/>
              </w:rPr>
            </w:pPr>
            <w:r w:rsidRPr="008B68F9">
              <w:rPr>
                <w:rFonts w:eastAsia="Times New Roman"/>
                <w:b/>
                <w:bCs/>
                <w:color w:val="000000"/>
                <w:sz w:val="18"/>
                <w:szCs w:val="18"/>
                <w:lang w:val="en-GB" w:eastAsia="en-GB"/>
              </w:rPr>
              <w:t>Динамика (%, предх.год.=100)</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4 453 748 275</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4 899 829 103</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4 623 405 174</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5 166 927 118</w:t>
            </w:r>
          </w:p>
        </w:tc>
        <w:tc>
          <w:tcPr>
            <w:tcW w:w="1299"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5 511 215 552</w:t>
            </w:r>
          </w:p>
        </w:tc>
        <w:tc>
          <w:tcPr>
            <w:tcW w:w="1418"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6 204 291 781</w:t>
            </w:r>
          </w:p>
        </w:tc>
      </w:tr>
      <w:tr w:rsidR="00700A00" w:rsidRPr="008B68F9" w:rsidTr="008E640E">
        <w:trPr>
          <w:trHeight w:val="600"/>
          <w:jc w:val="center"/>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00A00" w:rsidRPr="008B68F9" w:rsidRDefault="00700A00" w:rsidP="008B68F9">
            <w:pPr>
              <w:spacing w:after="0"/>
              <w:jc w:val="left"/>
              <w:rPr>
                <w:rFonts w:eastAsia="Times New Roman"/>
                <w:color w:val="000000"/>
                <w:sz w:val="18"/>
                <w:szCs w:val="18"/>
                <w:lang w:val="en-GB" w:eastAsia="en-GB"/>
              </w:rPr>
            </w:pPr>
            <w:r w:rsidRPr="008B68F9">
              <w:rPr>
                <w:rFonts w:eastAsia="Times New Roman"/>
                <w:color w:val="000000"/>
                <w:sz w:val="18"/>
                <w:szCs w:val="18"/>
                <w:lang w:val="en-GB" w:eastAsia="en-GB"/>
              </w:rPr>
              <w:t xml:space="preserve">Разходи по дейност 623 "Чистота" </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rPr>
                <w:rFonts w:ascii="Calibri" w:hAnsi="Calibri" w:cs="Calibri"/>
                <w:b/>
                <w:bCs/>
                <w:color w:val="000000"/>
                <w:sz w:val="18"/>
                <w:szCs w:val="18"/>
              </w:rPr>
            </w:pPr>
            <w:r w:rsidRPr="00700A00">
              <w:rPr>
                <w:rFonts w:ascii="Calibri" w:hAnsi="Calibri" w:cs="Calibri"/>
                <w:b/>
                <w:bCs/>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rPr>
                <w:rFonts w:ascii="Calibri" w:hAnsi="Calibri" w:cs="Calibri"/>
                <w:b/>
                <w:bCs/>
                <w:color w:val="000000"/>
                <w:sz w:val="18"/>
                <w:szCs w:val="18"/>
              </w:rPr>
            </w:pPr>
            <w:r w:rsidRPr="00700A00">
              <w:rPr>
                <w:rFonts w:ascii="Calibri" w:hAnsi="Calibri" w:cs="Calibri"/>
                <w:b/>
                <w:bCs/>
                <w:color w:val="000000"/>
                <w:sz w:val="18"/>
                <w:szCs w:val="18"/>
              </w:rPr>
              <w:t> </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rPr>
                <w:rFonts w:ascii="Calibri" w:hAnsi="Calibri" w:cs="Calibri"/>
                <w:b/>
                <w:bCs/>
                <w:color w:val="000000"/>
                <w:sz w:val="18"/>
                <w:szCs w:val="18"/>
              </w:rPr>
            </w:pPr>
            <w:r w:rsidRPr="00700A00">
              <w:rPr>
                <w:rFonts w:ascii="Calibri" w:hAnsi="Calibri" w:cs="Calibri"/>
                <w:b/>
                <w:bCs/>
                <w:color w:val="000000"/>
                <w:sz w:val="18"/>
                <w:szCs w:val="18"/>
              </w:rPr>
              <w:t> </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rPr>
                <w:rFonts w:ascii="Calibri" w:hAnsi="Calibri" w:cs="Calibri"/>
                <w:b/>
                <w:bCs/>
                <w:color w:val="000000"/>
                <w:sz w:val="18"/>
                <w:szCs w:val="18"/>
              </w:rPr>
            </w:pPr>
            <w:r w:rsidRPr="00700A00">
              <w:rPr>
                <w:rFonts w:ascii="Calibri" w:hAnsi="Calibri" w:cs="Calibri"/>
                <w:b/>
                <w:bCs/>
                <w:color w:val="000000"/>
                <w:sz w:val="18"/>
                <w:szCs w:val="18"/>
              </w:rPr>
              <w:t> </w:t>
            </w:r>
          </w:p>
        </w:tc>
        <w:tc>
          <w:tcPr>
            <w:tcW w:w="1299"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rPr>
                <w:rFonts w:ascii="Calibri" w:hAnsi="Calibri" w:cs="Calibri"/>
                <w:b/>
                <w:bCs/>
                <w:color w:val="000000"/>
                <w:sz w:val="18"/>
                <w:szCs w:val="18"/>
              </w:rPr>
            </w:pPr>
            <w:r w:rsidRPr="00700A00">
              <w:rPr>
                <w:rFonts w:ascii="Calibri" w:hAnsi="Calibri" w:cs="Calibri"/>
                <w:b/>
                <w:bCs/>
                <w:color w:val="000000"/>
                <w:sz w:val="18"/>
                <w:szCs w:val="18"/>
              </w:rPr>
              <w:t> </w:t>
            </w:r>
          </w:p>
        </w:tc>
        <w:tc>
          <w:tcPr>
            <w:tcW w:w="1418"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rPr>
                <w:rFonts w:ascii="Calibri" w:hAnsi="Calibri" w:cs="Calibri"/>
                <w:b/>
                <w:bCs/>
                <w:color w:val="000000"/>
                <w:sz w:val="18"/>
                <w:szCs w:val="18"/>
              </w:rPr>
            </w:pPr>
            <w:r w:rsidRPr="00700A00">
              <w:rPr>
                <w:rFonts w:ascii="Calibri" w:hAnsi="Calibri" w:cs="Calibri"/>
                <w:b/>
                <w:bCs/>
                <w:color w:val="000000"/>
                <w:sz w:val="18"/>
                <w:szCs w:val="18"/>
              </w:rPr>
              <w:t> </w:t>
            </w:r>
          </w:p>
        </w:tc>
      </w:tr>
      <w:tr w:rsidR="00700A00" w:rsidRPr="008B68F9" w:rsidTr="008E640E">
        <w:trPr>
          <w:trHeight w:val="600"/>
          <w:jc w:val="center"/>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00A00" w:rsidRPr="008B68F9" w:rsidRDefault="00700A00" w:rsidP="008B68F9">
            <w:pPr>
              <w:spacing w:after="0"/>
              <w:jc w:val="left"/>
              <w:rPr>
                <w:rFonts w:eastAsia="Times New Roman"/>
                <w:color w:val="000000"/>
                <w:sz w:val="18"/>
                <w:szCs w:val="18"/>
                <w:lang w:val="en-GB" w:eastAsia="en-GB"/>
              </w:rPr>
            </w:pPr>
            <w:r w:rsidRPr="008B68F9">
              <w:rPr>
                <w:rFonts w:eastAsia="Times New Roman"/>
                <w:color w:val="000000"/>
                <w:sz w:val="18"/>
                <w:szCs w:val="18"/>
                <w:lang w:val="en-GB" w:eastAsia="en-GB"/>
              </w:rPr>
              <w:t>Всичко бюджетни разходи на общините</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rPr>
                <w:rFonts w:ascii="Calibri" w:hAnsi="Calibri" w:cs="Calibri"/>
                <w:color w:val="000000"/>
                <w:sz w:val="18"/>
                <w:szCs w:val="18"/>
              </w:rPr>
            </w:pPr>
            <w:r w:rsidRPr="00700A00">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1,01</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1,03</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1,14</w:t>
            </w:r>
          </w:p>
        </w:tc>
        <w:tc>
          <w:tcPr>
            <w:tcW w:w="1299"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1,05</w:t>
            </w:r>
          </w:p>
        </w:tc>
        <w:tc>
          <w:tcPr>
            <w:tcW w:w="1418"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1,09</w:t>
            </w:r>
          </w:p>
        </w:tc>
      </w:tr>
      <w:tr w:rsidR="00700A00" w:rsidRPr="008B68F9" w:rsidTr="008E640E">
        <w:trPr>
          <w:trHeight w:val="907"/>
          <w:jc w:val="center"/>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00A00" w:rsidRPr="008B68F9" w:rsidRDefault="00700A00" w:rsidP="008B68F9">
            <w:pPr>
              <w:spacing w:after="0"/>
              <w:jc w:val="left"/>
              <w:rPr>
                <w:rFonts w:eastAsia="Times New Roman"/>
                <w:color w:val="000000"/>
                <w:sz w:val="18"/>
                <w:szCs w:val="18"/>
                <w:lang w:val="en-GB" w:eastAsia="en-GB"/>
              </w:rPr>
            </w:pPr>
            <w:r w:rsidRPr="008B68F9">
              <w:rPr>
                <w:rFonts w:eastAsia="Times New Roman"/>
                <w:color w:val="000000"/>
                <w:sz w:val="18"/>
                <w:szCs w:val="18"/>
                <w:lang w:val="en-GB" w:eastAsia="en-GB"/>
              </w:rPr>
              <w:t>Дял на разходите по управление на отпадъците в общите бюджетни разходи</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rPr>
                <w:rFonts w:ascii="Calibri" w:hAnsi="Calibri" w:cs="Calibri"/>
                <w:color w:val="000000"/>
                <w:sz w:val="18"/>
                <w:szCs w:val="18"/>
              </w:rPr>
            </w:pPr>
            <w:r w:rsidRPr="00700A00">
              <w:rPr>
                <w:rFonts w:ascii="Calibri" w:hAnsi="Calibri" w:cs="Calibri"/>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1,07</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1,05</w:t>
            </w:r>
          </w:p>
        </w:tc>
        <w:tc>
          <w:tcPr>
            <w:tcW w:w="1264"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1,20</w:t>
            </w:r>
          </w:p>
        </w:tc>
        <w:tc>
          <w:tcPr>
            <w:tcW w:w="1299"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0,88</w:t>
            </w:r>
          </w:p>
        </w:tc>
        <w:tc>
          <w:tcPr>
            <w:tcW w:w="1418" w:type="dxa"/>
            <w:tcBorders>
              <w:top w:val="nil"/>
              <w:left w:val="nil"/>
              <w:bottom w:val="single" w:sz="4" w:space="0" w:color="auto"/>
              <w:right w:val="single" w:sz="4" w:space="0" w:color="auto"/>
            </w:tcBorders>
            <w:shd w:val="clear" w:color="auto" w:fill="auto"/>
            <w:noWrap/>
            <w:vAlign w:val="bottom"/>
            <w:hideMark/>
          </w:tcPr>
          <w:p w:rsidR="00700A00" w:rsidRPr="00700A00" w:rsidRDefault="00700A00">
            <w:pPr>
              <w:jc w:val="right"/>
              <w:rPr>
                <w:rFonts w:ascii="Calibri" w:hAnsi="Calibri" w:cs="Calibri"/>
                <w:color w:val="000000"/>
                <w:sz w:val="18"/>
                <w:szCs w:val="18"/>
              </w:rPr>
            </w:pPr>
            <w:r w:rsidRPr="00700A00">
              <w:rPr>
                <w:rFonts w:ascii="Calibri" w:hAnsi="Calibri" w:cs="Calibri"/>
                <w:color w:val="000000"/>
                <w:sz w:val="18"/>
                <w:szCs w:val="18"/>
              </w:rPr>
              <w:t>1,30</w:t>
            </w:r>
          </w:p>
        </w:tc>
      </w:tr>
    </w:tbl>
    <w:p w:rsidR="00E43225" w:rsidRPr="00D071AF" w:rsidRDefault="006F2EAD" w:rsidP="006F2EAD">
      <w:pPr>
        <w:jc w:val="center"/>
        <w:rPr>
          <w:i/>
        </w:rPr>
      </w:pPr>
      <w:r w:rsidRPr="00D071AF">
        <w:rPr>
          <w:i/>
        </w:rPr>
        <w:t>Източник: Министерство на финансите</w:t>
      </w:r>
      <w:r w:rsidR="00D071AF" w:rsidRPr="00D071AF">
        <w:rPr>
          <w:i/>
        </w:rPr>
        <w:t>, собствени изчисления</w:t>
      </w:r>
    </w:p>
    <w:p w:rsidR="00CC0B65" w:rsidRDefault="006F2EAD" w:rsidP="0006204E">
      <w:r>
        <w:t>Данните показват, че като цяло динамиката на разходите за управление на отпадъците в общинските бюджети е сходна на динамиката на общите бюджетни разходи, което води до запазване на относителния дял в общите бюджетни разходи за целия разглеждан период.</w:t>
      </w:r>
    </w:p>
    <w:p w:rsidR="007B5B9F" w:rsidRDefault="007B5B9F" w:rsidP="0006204E">
      <w:r>
        <w:t>В следващата таблица са представени данни за 2018 г. за разходите по отделните услуги</w:t>
      </w:r>
      <w:r w:rsidR="00D071AF">
        <w:t xml:space="preserve"> по</w:t>
      </w:r>
      <w:r>
        <w:t xml:space="preserve"> управление на отпадъците, предоставяни от общините. </w:t>
      </w:r>
      <w:r w:rsidR="00B72919">
        <w:t>Средните стойности на разходите на 1 жител и на 1 тон отпадък ще бъдат използвани остойностяването на инвестиционните мерки в бъдещия НПУО.</w:t>
      </w:r>
    </w:p>
    <w:p w:rsidR="00A143D5" w:rsidRDefault="00A143D5" w:rsidP="0006204E"/>
    <w:p w:rsidR="00A143D5" w:rsidRDefault="00A143D5" w:rsidP="0006204E">
      <w:pPr>
        <w:sectPr w:rsidR="00A143D5" w:rsidSect="00A143D5">
          <w:pgSz w:w="11906" w:h="16838" w:code="9"/>
          <w:pgMar w:top="1417" w:right="1417" w:bottom="1417" w:left="1417" w:header="708" w:footer="0" w:gutter="0"/>
          <w:cols w:space="708"/>
          <w:docGrid w:linePitch="360"/>
        </w:sectPr>
      </w:pPr>
    </w:p>
    <w:p w:rsidR="00A143D5" w:rsidRDefault="00A143D5" w:rsidP="0006204E"/>
    <w:p w:rsidR="006F2EAD" w:rsidRDefault="00A143D5" w:rsidP="00A143D5">
      <w:pPr>
        <w:pStyle w:val="Caption"/>
      </w:pPr>
      <w:bookmarkStart w:id="25" w:name="_Toc45719033"/>
      <w:r>
        <w:t xml:space="preserve">Таблица </w:t>
      </w:r>
      <w:r w:rsidR="00680D95">
        <w:fldChar w:fldCharType="begin"/>
      </w:r>
      <w:r>
        <w:instrText xml:space="preserve"> SEQ Таблица \* ARABIC </w:instrText>
      </w:r>
      <w:r w:rsidR="00680D95">
        <w:fldChar w:fldCharType="separate"/>
      </w:r>
      <w:r w:rsidR="000F1791">
        <w:rPr>
          <w:noProof/>
        </w:rPr>
        <w:t>9</w:t>
      </w:r>
      <w:r w:rsidR="00680D95">
        <w:fldChar w:fldCharType="end"/>
      </w:r>
      <w:r>
        <w:t>. Междуобщински различия в разходите за управление на отпадъците през 2018 г.</w:t>
      </w:r>
      <w:bookmarkEnd w:id="25"/>
    </w:p>
    <w:tbl>
      <w:tblPr>
        <w:tblStyle w:val="TableGrid"/>
        <w:tblW w:w="14425" w:type="dxa"/>
        <w:tblLayout w:type="fixed"/>
        <w:tblLook w:val="04A0" w:firstRow="1" w:lastRow="0" w:firstColumn="1" w:lastColumn="0" w:noHBand="0" w:noVBand="1"/>
      </w:tblPr>
      <w:tblGrid>
        <w:gridCol w:w="3652"/>
        <w:gridCol w:w="1795"/>
        <w:gridCol w:w="1796"/>
        <w:gridCol w:w="1795"/>
        <w:gridCol w:w="1796"/>
        <w:gridCol w:w="1795"/>
        <w:gridCol w:w="1796"/>
      </w:tblGrid>
      <w:tr w:rsidR="00A143D5" w:rsidRPr="00E35B45" w:rsidTr="00667D97">
        <w:trPr>
          <w:tblHeader/>
        </w:trPr>
        <w:tc>
          <w:tcPr>
            <w:tcW w:w="3652" w:type="dxa"/>
          </w:tcPr>
          <w:p w:rsidR="00A143D5" w:rsidRPr="00E35B45" w:rsidRDefault="00A143D5" w:rsidP="0006204E">
            <w:pPr>
              <w:rPr>
                <w:sz w:val="20"/>
                <w:szCs w:val="20"/>
              </w:rPr>
            </w:pPr>
          </w:p>
        </w:tc>
        <w:tc>
          <w:tcPr>
            <w:tcW w:w="1795" w:type="dxa"/>
            <w:vAlign w:val="center"/>
          </w:tcPr>
          <w:p w:rsidR="00A143D5" w:rsidRPr="00E35B45" w:rsidRDefault="00A143D5" w:rsidP="00A143D5">
            <w:pPr>
              <w:jc w:val="center"/>
              <w:rPr>
                <w:b/>
                <w:color w:val="000000"/>
                <w:sz w:val="20"/>
                <w:szCs w:val="20"/>
              </w:rPr>
            </w:pPr>
            <w:r w:rsidRPr="00E35B45">
              <w:rPr>
                <w:b/>
                <w:color w:val="000000"/>
                <w:sz w:val="20"/>
                <w:szCs w:val="20"/>
                <w:lang w:eastAsia="bg-BG"/>
              </w:rPr>
              <w:t>Малки общини (под 10 хил.жители)</w:t>
            </w:r>
          </w:p>
        </w:tc>
        <w:tc>
          <w:tcPr>
            <w:tcW w:w="1796" w:type="dxa"/>
            <w:vAlign w:val="center"/>
          </w:tcPr>
          <w:p w:rsidR="00A143D5" w:rsidRPr="00E35B45" w:rsidRDefault="00A143D5" w:rsidP="00A143D5">
            <w:pPr>
              <w:jc w:val="center"/>
              <w:rPr>
                <w:b/>
                <w:color w:val="000000"/>
                <w:sz w:val="20"/>
                <w:szCs w:val="20"/>
              </w:rPr>
            </w:pPr>
            <w:r w:rsidRPr="00E35B45">
              <w:rPr>
                <w:b/>
                <w:color w:val="000000"/>
                <w:sz w:val="20"/>
                <w:szCs w:val="20"/>
                <w:lang w:eastAsia="bg-BG"/>
              </w:rPr>
              <w:t>Средни общини (10-50 хил. жители)</w:t>
            </w:r>
          </w:p>
        </w:tc>
        <w:tc>
          <w:tcPr>
            <w:tcW w:w="1795" w:type="dxa"/>
            <w:vAlign w:val="center"/>
          </w:tcPr>
          <w:p w:rsidR="00A143D5" w:rsidRPr="00E35B45" w:rsidRDefault="00A143D5" w:rsidP="00A143D5">
            <w:pPr>
              <w:jc w:val="center"/>
              <w:rPr>
                <w:b/>
                <w:color w:val="000000"/>
                <w:sz w:val="20"/>
                <w:szCs w:val="20"/>
              </w:rPr>
            </w:pPr>
            <w:r w:rsidRPr="00E35B45">
              <w:rPr>
                <w:b/>
                <w:color w:val="000000"/>
                <w:sz w:val="20"/>
                <w:szCs w:val="20"/>
                <w:lang w:eastAsia="bg-BG"/>
              </w:rPr>
              <w:t>Големи общини (50-100 хил.жители)</w:t>
            </w:r>
          </w:p>
        </w:tc>
        <w:tc>
          <w:tcPr>
            <w:tcW w:w="1796" w:type="dxa"/>
            <w:vAlign w:val="center"/>
          </w:tcPr>
          <w:p w:rsidR="00A143D5" w:rsidRPr="00E35B45" w:rsidRDefault="00A143D5" w:rsidP="00A143D5">
            <w:pPr>
              <w:jc w:val="center"/>
              <w:rPr>
                <w:b/>
                <w:color w:val="000000"/>
                <w:sz w:val="20"/>
                <w:szCs w:val="20"/>
              </w:rPr>
            </w:pPr>
            <w:r w:rsidRPr="00E35B45">
              <w:rPr>
                <w:b/>
                <w:color w:val="000000"/>
                <w:sz w:val="20"/>
                <w:szCs w:val="20"/>
                <w:lang w:eastAsia="bg-BG"/>
              </w:rPr>
              <w:t>Много големи общини (над 100 хил.жители)</w:t>
            </w:r>
          </w:p>
        </w:tc>
        <w:tc>
          <w:tcPr>
            <w:tcW w:w="1795" w:type="dxa"/>
            <w:vAlign w:val="center"/>
          </w:tcPr>
          <w:p w:rsidR="00A143D5" w:rsidRPr="00E35B45" w:rsidRDefault="00A143D5" w:rsidP="00A143D5">
            <w:pPr>
              <w:jc w:val="center"/>
              <w:rPr>
                <w:b/>
                <w:color w:val="000000"/>
                <w:sz w:val="20"/>
                <w:szCs w:val="20"/>
              </w:rPr>
            </w:pPr>
            <w:r w:rsidRPr="00E35B45">
              <w:rPr>
                <w:b/>
                <w:color w:val="000000"/>
                <w:sz w:val="20"/>
                <w:szCs w:val="20"/>
              </w:rPr>
              <w:t>Столична община</w:t>
            </w:r>
          </w:p>
        </w:tc>
        <w:tc>
          <w:tcPr>
            <w:tcW w:w="1796" w:type="dxa"/>
            <w:vAlign w:val="center"/>
          </w:tcPr>
          <w:p w:rsidR="00A143D5" w:rsidRPr="00E35B45" w:rsidRDefault="00A143D5" w:rsidP="00A143D5">
            <w:pPr>
              <w:jc w:val="center"/>
              <w:rPr>
                <w:b/>
                <w:color w:val="000000"/>
                <w:sz w:val="20"/>
                <w:szCs w:val="20"/>
              </w:rPr>
            </w:pPr>
            <w:r w:rsidRPr="00E35B45">
              <w:rPr>
                <w:b/>
                <w:color w:val="000000"/>
                <w:sz w:val="20"/>
                <w:szCs w:val="20"/>
              </w:rPr>
              <w:t>България</w:t>
            </w:r>
          </w:p>
        </w:tc>
      </w:tr>
      <w:tr w:rsidR="00667D97" w:rsidRPr="00E35B45" w:rsidTr="00FF30AD">
        <w:tc>
          <w:tcPr>
            <w:tcW w:w="3652" w:type="dxa"/>
            <w:vAlign w:val="bottom"/>
          </w:tcPr>
          <w:p w:rsidR="00667D97" w:rsidRPr="00E35B45" w:rsidRDefault="00667D97">
            <w:pPr>
              <w:rPr>
                <w:rFonts w:ascii="Calibri" w:hAnsi="Calibri"/>
                <w:b/>
                <w:color w:val="000000"/>
                <w:sz w:val="20"/>
                <w:szCs w:val="20"/>
              </w:rPr>
            </w:pPr>
            <w:r w:rsidRPr="00E35B45">
              <w:rPr>
                <w:rFonts w:ascii="Calibri" w:hAnsi="Calibri"/>
                <w:b/>
                <w:color w:val="000000"/>
                <w:sz w:val="20"/>
                <w:szCs w:val="20"/>
              </w:rPr>
              <w:t>Разходи (лв.)</w:t>
            </w: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r>
      <w:tr w:rsidR="00634609" w:rsidRPr="00E35B45" w:rsidTr="00FF30AD">
        <w:tc>
          <w:tcPr>
            <w:tcW w:w="3652" w:type="dxa"/>
            <w:vAlign w:val="bottom"/>
          </w:tcPr>
          <w:p w:rsidR="00634609" w:rsidRPr="00E35B45" w:rsidRDefault="00634609">
            <w:pPr>
              <w:rPr>
                <w:rFonts w:ascii="Calibri" w:hAnsi="Calibri"/>
                <w:color w:val="000000"/>
                <w:sz w:val="20"/>
                <w:szCs w:val="20"/>
              </w:rPr>
            </w:pPr>
            <w:r w:rsidRPr="00E35B45">
              <w:rPr>
                <w:rFonts w:ascii="Calibri" w:hAnsi="Calibri"/>
                <w:color w:val="000000"/>
                <w:sz w:val="20"/>
                <w:szCs w:val="20"/>
              </w:rPr>
              <w:t>Общо стойност на одобрената план-сметката по чл. 66 от ЗМДТ за 2018 г. и изпълнение към 31.12.2018 г. (лв.), в т.ч.:</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62 240 362</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206 048 148</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75 599 950</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133 551 624</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196 345 747</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673 785 830</w:t>
            </w:r>
          </w:p>
        </w:tc>
      </w:tr>
      <w:tr w:rsidR="00634609" w:rsidRPr="00E35B45" w:rsidTr="00FF30AD">
        <w:tc>
          <w:tcPr>
            <w:tcW w:w="3652" w:type="dxa"/>
            <w:vAlign w:val="bottom"/>
          </w:tcPr>
          <w:p w:rsidR="00634609" w:rsidRPr="00E35B45" w:rsidRDefault="00634609">
            <w:pPr>
              <w:rPr>
                <w:rFonts w:ascii="Calibri" w:hAnsi="Calibri"/>
                <w:color w:val="000000"/>
                <w:sz w:val="20"/>
                <w:szCs w:val="20"/>
              </w:rPr>
            </w:pPr>
            <w:r w:rsidRPr="00E35B45">
              <w:rPr>
                <w:rFonts w:ascii="Calibri" w:hAnsi="Calibri"/>
                <w:color w:val="000000"/>
                <w:sz w:val="20"/>
                <w:szCs w:val="20"/>
              </w:rPr>
              <w:t xml:space="preserve"> - за осигуряване на съдове за съхраняване на битовите отпадъци - контейнери, кофи и други (лв.)</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2 641 570</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3 733 172</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1 046 296</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224 504</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0</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7 645 542</w:t>
            </w:r>
          </w:p>
        </w:tc>
      </w:tr>
      <w:tr w:rsidR="00634609" w:rsidRPr="00E35B45" w:rsidTr="00FF30AD">
        <w:tc>
          <w:tcPr>
            <w:tcW w:w="3652" w:type="dxa"/>
            <w:vAlign w:val="bottom"/>
          </w:tcPr>
          <w:p w:rsidR="00634609" w:rsidRPr="00E35B45" w:rsidRDefault="00634609">
            <w:pPr>
              <w:rPr>
                <w:rFonts w:ascii="Calibri" w:hAnsi="Calibri"/>
                <w:color w:val="000000"/>
                <w:sz w:val="20"/>
                <w:szCs w:val="20"/>
              </w:rPr>
            </w:pPr>
            <w:r w:rsidRPr="00E35B45">
              <w:rPr>
                <w:rFonts w:ascii="Calibri" w:hAnsi="Calibri"/>
                <w:color w:val="000000"/>
                <w:sz w:val="20"/>
                <w:szCs w:val="20"/>
              </w:rPr>
              <w:t xml:space="preserve"> - за събиране, включително разделно на битовите отпадъци и транспортирането им до депата или други инсталации и съоръжения за третирането им (лв.)</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24 560 952</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83 708 634</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30 132 037</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48 396 598</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64 708 788</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251 507 009</w:t>
            </w:r>
          </w:p>
        </w:tc>
      </w:tr>
      <w:tr w:rsidR="00634609" w:rsidRPr="00E35B45" w:rsidTr="00FF30AD">
        <w:tc>
          <w:tcPr>
            <w:tcW w:w="3652" w:type="dxa"/>
            <w:vAlign w:val="bottom"/>
          </w:tcPr>
          <w:p w:rsidR="00634609" w:rsidRPr="00E35B45" w:rsidRDefault="00634609">
            <w:pPr>
              <w:rPr>
                <w:rFonts w:ascii="Calibri" w:hAnsi="Calibri"/>
                <w:color w:val="000000"/>
                <w:sz w:val="20"/>
                <w:szCs w:val="20"/>
              </w:rPr>
            </w:pPr>
            <w:r w:rsidRPr="00E35B45">
              <w:rPr>
                <w:rFonts w:ascii="Calibri" w:hAnsi="Calibri"/>
                <w:color w:val="000000"/>
                <w:sz w:val="20"/>
                <w:szCs w:val="20"/>
              </w:rPr>
              <w:t xml:space="preserve"> - за 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 включително отчисленията по чл. 60 и 64 от Закона за управление на отпадъците </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22 594 300</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68 759 456</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19 738 870</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41 892 387</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43 797 732</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196 782 745</w:t>
            </w:r>
          </w:p>
        </w:tc>
      </w:tr>
      <w:tr w:rsidR="00634609" w:rsidRPr="00E35B45" w:rsidTr="00FF30AD">
        <w:tc>
          <w:tcPr>
            <w:tcW w:w="3652" w:type="dxa"/>
            <w:vAlign w:val="bottom"/>
          </w:tcPr>
          <w:p w:rsidR="00634609" w:rsidRPr="00E35B45" w:rsidRDefault="00634609">
            <w:pPr>
              <w:rPr>
                <w:rFonts w:ascii="Calibri" w:hAnsi="Calibri"/>
                <w:color w:val="000000"/>
                <w:sz w:val="20"/>
                <w:szCs w:val="20"/>
              </w:rPr>
            </w:pPr>
            <w:r w:rsidRPr="00E35B45">
              <w:rPr>
                <w:rFonts w:ascii="Calibri" w:hAnsi="Calibri"/>
                <w:color w:val="000000"/>
                <w:sz w:val="20"/>
                <w:szCs w:val="20"/>
              </w:rPr>
              <w:t xml:space="preserve"> - за почистване на уличните платна, площадите, алеите, парковите и другите територии от населените места, предназначени за обществено </w:t>
            </w:r>
            <w:r w:rsidRPr="00E35B45">
              <w:rPr>
                <w:rFonts w:ascii="Calibri" w:hAnsi="Calibri"/>
                <w:color w:val="000000"/>
                <w:sz w:val="20"/>
                <w:szCs w:val="20"/>
              </w:rPr>
              <w:lastRenderedPageBreak/>
              <w:t xml:space="preserve">ползване </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lastRenderedPageBreak/>
              <w:t>12 311 901</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49 846 886</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24 682 747</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43 038 135</w:t>
            </w:r>
          </w:p>
        </w:tc>
        <w:tc>
          <w:tcPr>
            <w:tcW w:w="1795" w:type="dxa"/>
            <w:vAlign w:val="bottom"/>
          </w:tcPr>
          <w:p w:rsidR="00634609" w:rsidRDefault="00634609">
            <w:pPr>
              <w:jc w:val="right"/>
              <w:rPr>
                <w:rFonts w:ascii="Calibri" w:hAnsi="Calibri" w:cs="Calibri"/>
                <w:color w:val="000000"/>
                <w:sz w:val="22"/>
              </w:rPr>
            </w:pPr>
            <w:r>
              <w:rPr>
                <w:rFonts w:ascii="Calibri" w:hAnsi="Calibri" w:cs="Calibri"/>
                <w:color w:val="000000"/>
                <w:sz w:val="22"/>
              </w:rPr>
              <w:t>87 839 227</w:t>
            </w:r>
          </w:p>
        </w:tc>
        <w:tc>
          <w:tcPr>
            <w:tcW w:w="1796" w:type="dxa"/>
            <w:vAlign w:val="bottom"/>
          </w:tcPr>
          <w:p w:rsidR="00634609" w:rsidRDefault="00634609">
            <w:pPr>
              <w:jc w:val="right"/>
              <w:rPr>
                <w:rFonts w:ascii="Calibri" w:hAnsi="Calibri" w:cs="Calibri"/>
                <w:color w:val="000000"/>
                <w:sz w:val="22"/>
              </w:rPr>
            </w:pPr>
            <w:r>
              <w:rPr>
                <w:rFonts w:ascii="Calibri" w:hAnsi="Calibri" w:cs="Calibri"/>
                <w:color w:val="000000"/>
                <w:sz w:val="22"/>
              </w:rPr>
              <w:t>217 718 896</w:t>
            </w:r>
          </w:p>
        </w:tc>
      </w:tr>
      <w:tr w:rsidR="00A024D6" w:rsidRPr="00E35B45" w:rsidTr="00FF30AD">
        <w:tc>
          <w:tcPr>
            <w:tcW w:w="3652" w:type="dxa"/>
            <w:vAlign w:val="bottom"/>
          </w:tcPr>
          <w:p w:rsidR="00A024D6" w:rsidRPr="00E35B45" w:rsidRDefault="00A024D6" w:rsidP="00667D97">
            <w:pPr>
              <w:jc w:val="left"/>
              <w:rPr>
                <w:rFonts w:ascii="Calibri" w:hAnsi="Calibri"/>
                <w:b/>
                <w:color w:val="000000"/>
                <w:sz w:val="20"/>
                <w:szCs w:val="20"/>
              </w:rPr>
            </w:pPr>
            <w:r w:rsidRPr="00E35B45">
              <w:rPr>
                <w:rFonts w:ascii="Calibri" w:hAnsi="Calibri"/>
                <w:b/>
                <w:color w:val="000000"/>
                <w:sz w:val="20"/>
                <w:szCs w:val="20"/>
              </w:rPr>
              <w:t>Брой на населението (средногодишно)</w:t>
            </w:r>
          </w:p>
        </w:tc>
        <w:tc>
          <w:tcPr>
            <w:tcW w:w="1795"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758 211</w:t>
            </w:r>
          </w:p>
        </w:tc>
        <w:tc>
          <w:tcPr>
            <w:tcW w:w="1796"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2 313 767</w:t>
            </w:r>
          </w:p>
        </w:tc>
        <w:tc>
          <w:tcPr>
            <w:tcW w:w="1795"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1 061 180</w:t>
            </w:r>
          </w:p>
        </w:tc>
        <w:tc>
          <w:tcPr>
            <w:tcW w:w="1796"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1 565 104</w:t>
            </w:r>
          </w:p>
        </w:tc>
        <w:tc>
          <w:tcPr>
            <w:tcW w:w="1795"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1 326 775</w:t>
            </w:r>
          </w:p>
        </w:tc>
        <w:tc>
          <w:tcPr>
            <w:tcW w:w="1796"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7 025 037</w:t>
            </w:r>
          </w:p>
        </w:tc>
      </w:tr>
      <w:tr w:rsidR="00A024D6" w:rsidRPr="00E35B45" w:rsidTr="00FF30AD">
        <w:tc>
          <w:tcPr>
            <w:tcW w:w="3652" w:type="dxa"/>
            <w:vAlign w:val="bottom"/>
          </w:tcPr>
          <w:p w:rsidR="00A024D6" w:rsidRPr="00E35B45" w:rsidRDefault="00A024D6">
            <w:pPr>
              <w:rPr>
                <w:rFonts w:ascii="Calibri" w:hAnsi="Calibri"/>
                <w:b/>
                <w:color w:val="000000"/>
                <w:sz w:val="20"/>
                <w:szCs w:val="20"/>
              </w:rPr>
            </w:pPr>
            <w:r w:rsidRPr="00E35B45">
              <w:rPr>
                <w:rFonts w:ascii="Calibri" w:hAnsi="Calibri"/>
                <w:b/>
                <w:color w:val="000000"/>
                <w:sz w:val="20"/>
                <w:szCs w:val="20"/>
              </w:rPr>
              <w:t>Количество на отпадъците (тона)</w:t>
            </w:r>
          </w:p>
        </w:tc>
        <w:tc>
          <w:tcPr>
            <w:tcW w:w="1795"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214 419</w:t>
            </w:r>
          </w:p>
        </w:tc>
        <w:tc>
          <w:tcPr>
            <w:tcW w:w="1796"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1 518 315</w:t>
            </w:r>
          </w:p>
        </w:tc>
        <w:tc>
          <w:tcPr>
            <w:tcW w:w="1795"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388 303</w:t>
            </w:r>
          </w:p>
        </w:tc>
        <w:tc>
          <w:tcPr>
            <w:tcW w:w="1796"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661 521</w:t>
            </w:r>
          </w:p>
        </w:tc>
        <w:tc>
          <w:tcPr>
            <w:tcW w:w="1795"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384 224</w:t>
            </w:r>
          </w:p>
        </w:tc>
        <w:tc>
          <w:tcPr>
            <w:tcW w:w="1796" w:type="dxa"/>
            <w:vAlign w:val="bottom"/>
          </w:tcPr>
          <w:p w:rsidR="00A024D6" w:rsidRPr="00A024D6" w:rsidRDefault="00A024D6">
            <w:pPr>
              <w:jc w:val="right"/>
              <w:rPr>
                <w:rFonts w:ascii="Calibri" w:hAnsi="Calibri" w:cs="Calibri"/>
                <w:color w:val="000000"/>
                <w:sz w:val="20"/>
                <w:szCs w:val="20"/>
              </w:rPr>
            </w:pPr>
            <w:r w:rsidRPr="00A024D6">
              <w:rPr>
                <w:rFonts w:ascii="Calibri" w:hAnsi="Calibri" w:cs="Calibri"/>
                <w:color w:val="000000"/>
                <w:sz w:val="20"/>
                <w:szCs w:val="20"/>
              </w:rPr>
              <w:t>3 166 782</w:t>
            </w:r>
          </w:p>
        </w:tc>
      </w:tr>
      <w:tr w:rsidR="00667D97" w:rsidRPr="00E35B45" w:rsidTr="00FF30AD">
        <w:tc>
          <w:tcPr>
            <w:tcW w:w="3652" w:type="dxa"/>
            <w:vAlign w:val="bottom"/>
          </w:tcPr>
          <w:p w:rsidR="004A450F" w:rsidRPr="00E35B45" w:rsidRDefault="004A450F">
            <w:pPr>
              <w:rPr>
                <w:rFonts w:ascii="Calibri" w:hAnsi="Calibri"/>
                <w:b/>
                <w:color w:val="000000"/>
                <w:sz w:val="20"/>
                <w:szCs w:val="20"/>
              </w:rPr>
            </w:pPr>
            <w:r w:rsidRPr="00E35B45">
              <w:rPr>
                <w:rFonts w:ascii="Calibri" w:hAnsi="Calibri"/>
                <w:b/>
                <w:color w:val="000000"/>
                <w:sz w:val="20"/>
                <w:szCs w:val="20"/>
              </w:rPr>
              <w:t>Разходи на 1 жител (лв.)</w:t>
            </w: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r>
      <w:tr w:rsidR="00607AD5" w:rsidRPr="00E35B45" w:rsidTr="00FF30AD">
        <w:tc>
          <w:tcPr>
            <w:tcW w:w="3652" w:type="dxa"/>
            <w:vAlign w:val="bottom"/>
          </w:tcPr>
          <w:p w:rsidR="00607AD5" w:rsidRPr="00E35B45" w:rsidRDefault="00607AD5" w:rsidP="00FF30AD">
            <w:pPr>
              <w:rPr>
                <w:rFonts w:ascii="Calibri" w:hAnsi="Calibri"/>
                <w:color w:val="000000"/>
                <w:sz w:val="20"/>
                <w:szCs w:val="20"/>
              </w:rPr>
            </w:pPr>
            <w:r w:rsidRPr="00E35B45">
              <w:rPr>
                <w:rFonts w:ascii="Calibri" w:hAnsi="Calibri"/>
                <w:color w:val="000000"/>
                <w:sz w:val="20"/>
                <w:szCs w:val="20"/>
              </w:rPr>
              <w:t>Общо стойност на одобрената план-сметката по чл. 66 от ЗМДТ за 2018 г. и изпълнение към 31.12.2018 г. (лв.), в т.ч.:</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82,09</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89,05</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71,24</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85,33</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147,99</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95,91</w:t>
            </w:r>
          </w:p>
        </w:tc>
      </w:tr>
      <w:tr w:rsidR="00607AD5" w:rsidRPr="00E35B45" w:rsidTr="00FF30AD">
        <w:tc>
          <w:tcPr>
            <w:tcW w:w="3652" w:type="dxa"/>
            <w:vAlign w:val="bottom"/>
          </w:tcPr>
          <w:p w:rsidR="00607AD5" w:rsidRPr="00E35B45" w:rsidRDefault="00607AD5" w:rsidP="00FF30AD">
            <w:pPr>
              <w:rPr>
                <w:rFonts w:ascii="Calibri" w:hAnsi="Calibri"/>
                <w:color w:val="000000"/>
                <w:sz w:val="20"/>
                <w:szCs w:val="20"/>
              </w:rPr>
            </w:pPr>
            <w:r w:rsidRPr="00E35B45">
              <w:rPr>
                <w:rFonts w:ascii="Calibri" w:hAnsi="Calibri"/>
                <w:color w:val="000000"/>
                <w:sz w:val="20"/>
                <w:szCs w:val="20"/>
              </w:rPr>
              <w:t xml:space="preserve"> - за осигуряване на съдове за съхраняване на битовите отпадъци - контейнери, кофи и други (лв.)</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3,48</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1,61</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0,99</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0,14</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0,00</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1,09</w:t>
            </w:r>
          </w:p>
        </w:tc>
      </w:tr>
      <w:tr w:rsidR="00607AD5" w:rsidRPr="00E35B45" w:rsidTr="00FF30AD">
        <w:tc>
          <w:tcPr>
            <w:tcW w:w="3652" w:type="dxa"/>
            <w:vAlign w:val="bottom"/>
          </w:tcPr>
          <w:p w:rsidR="00607AD5" w:rsidRPr="00E35B45" w:rsidRDefault="00607AD5" w:rsidP="00FF30AD">
            <w:pPr>
              <w:rPr>
                <w:rFonts w:ascii="Calibri" w:hAnsi="Calibri"/>
                <w:color w:val="000000"/>
                <w:sz w:val="20"/>
                <w:szCs w:val="20"/>
              </w:rPr>
            </w:pPr>
            <w:r w:rsidRPr="00E35B45">
              <w:rPr>
                <w:rFonts w:ascii="Calibri" w:hAnsi="Calibri"/>
                <w:color w:val="000000"/>
                <w:sz w:val="20"/>
                <w:szCs w:val="20"/>
              </w:rPr>
              <w:t xml:space="preserve"> - за събиране, включително разделно на битовите отпадъци и транспортирането им до депата или други инсталации и съоръжения за третирането им (лв.)</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32,39</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36,18</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28,39</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30,92</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48,77</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35,80</w:t>
            </w:r>
          </w:p>
        </w:tc>
      </w:tr>
      <w:tr w:rsidR="00607AD5" w:rsidRPr="00E35B45" w:rsidTr="00FF30AD">
        <w:tc>
          <w:tcPr>
            <w:tcW w:w="3652" w:type="dxa"/>
            <w:vAlign w:val="bottom"/>
          </w:tcPr>
          <w:p w:rsidR="00607AD5" w:rsidRPr="00E35B45" w:rsidRDefault="00607AD5" w:rsidP="00FF30AD">
            <w:pPr>
              <w:rPr>
                <w:rFonts w:ascii="Calibri" w:hAnsi="Calibri"/>
                <w:color w:val="000000"/>
                <w:sz w:val="20"/>
                <w:szCs w:val="20"/>
              </w:rPr>
            </w:pPr>
            <w:r w:rsidRPr="00E35B45">
              <w:rPr>
                <w:rFonts w:ascii="Calibri" w:hAnsi="Calibri"/>
                <w:color w:val="000000"/>
                <w:sz w:val="20"/>
                <w:szCs w:val="20"/>
              </w:rPr>
              <w:t xml:space="preserve"> - за 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 включително отчисленията по чл. 60 и 64 от Закона за управление на отпадъците </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29,80</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29,72</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18,60</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26,77</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33,01</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28,01</w:t>
            </w:r>
          </w:p>
        </w:tc>
      </w:tr>
      <w:tr w:rsidR="00607AD5" w:rsidRPr="00E35B45" w:rsidTr="00FF30AD">
        <w:tc>
          <w:tcPr>
            <w:tcW w:w="3652" w:type="dxa"/>
            <w:vAlign w:val="bottom"/>
          </w:tcPr>
          <w:p w:rsidR="00607AD5" w:rsidRPr="00E35B45" w:rsidRDefault="00607AD5" w:rsidP="00FF30AD">
            <w:pPr>
              <w:rPr>
                <w:rFonts w:ascii="Calibri" w:hAnsi="Calibri"/>
                <w:color w:val="000000"/>
                <w:sz w:val="20"/>
                <w:szCs w:val="20"/>
              </w:rPr>
            </w:pPr>
            <w:r w:rsidRPr="00E35B45">
              <w:rPr>
                <w:rFonts w:ascii="Calibri" w:hAnsi="Calibri"/>
                <w:color w:val="000000"/>
                <w:sz w:val="20"/>
                <w:szCs w:val="20"/>
              </w:rPr>
              <w:t xml:space="preserve"> - за почистване на уличните платна, площадите, алеите, парковите и другите територии от населените </w:t>
            </w:r>
            <w:r w:rsidRPr="00E35B45">
              <w:rPr>
                <w:rFonts w:ascii="Calibri" w:hAnsi="Calibri"/>
                <w:color w:val="000000"/>
                <w:sz w:val="20"/>
                <w:szCs w:val="20"/>
              </w:rPr>
              <w:lastRenderedPageBreak/>
              <w:t xml:space="preserve">места, предназначени за обществено ползване </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lastRenderedPageBreak/>
              <w:t>16,24</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21,54</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23,26</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27,50</w:t>
            </w:r>
          </w:p>
        </w:tc>
        <w:tc>
          <w:tcPr>
            <w:tcW w:w="1795"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66,21</w:t>
            </w:r>
          </w:p>
        </w:tc>
        <w:tc>
          <w:tcPr>
            <w:tcW w:w="1796" w:type="dxa"/>
            <w:vAlign w:val="bottom"/>
          </w:tcPr>
          <w:p w:rsidR="00607AD5" w:rsidRPr="00607AD5" w:rsidRDefault="00607AD5">
            <w:pPr>
              <w:jc w:val="right"/>
              <w:rPr>
                <w:rFonts w:ascii="Calibri" w:hAnsi="Calibri" w:cs="Calibri"/>
                <w:color w:val="000000"/>
                <w:sz w:val="20"/>
                <w:szCs w:val="20"/>
              </w:rPr>
            </w:pPr>
            <w:r w:rsidRPr="00607AD5">
              <w:rPr>
                <w:rFonts w:ascii="Calibri" w:hAnsi="Calibri" w:cs="Calibri"/>
                <w:color w:val="000000"/>
                <w:sz w:val="20"/>
                <w:szCs w:val="20"/>
              </w:rPr>
              <w:t>30,99</w:t>
            </w:r>
          </w:p>
        </w:tc>
      </w:tr>
      <w:tr w:rsidR="00667D97" w:rsidRPr="00E35B45" w:rsidTr="00FF30AD">
        <w:tc>
          <w:tcPr>
            <w:tcW w:w="3652" w:type="dxa"/>
            <w:vAlign w:val="bottom"/>
          </w:tcPr>
          <w:p w:rsidR="00667D97" w:rsidRPr="00E35B45" w:rsidRDefault="004A450F">
            <w:pPr>
              <w:rPr>
                <w:rFonts w:ascii="Calibri" w:hAnsi="Calibri"/>
                <w:b/>
                <w:color w:val="000000"/>
                <w:sz w:val="20"/>
                <w:szCs w:val="20"/>
              </w:rPr>
            </w:pPr>
            <w:r w:rsidRPr="00E35B45">
              <w:rPr>
                <w:rFonts w:ascii="Calibri" w:hAnsi="Calibri"/>
                <w:b/>
                <w:color w:val="000000"/>
                <w:sz w:val="20"/>
                <w:szCs w:val="20"/>
              </w:rPr>
              <w:t>Разходи на 1 тон отпадък (лв.)</w:t>
            </w: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c>
          <w:tcPr>
            <w:tcW w:w="1795" w:type="dxa"/>
            <w:vAlign w:val="bottom"/>
          </w:tcPr>
          <w:p w:rsidR="00667D97" w:rsidRPr="00E35B45" w:rsidRDefault="00667D97">
            <w:pPr>
              <w:jc w:val="right"/>
              <w:rPr>
                <w:rFonts w:ascii="Calibri" w:hAnsi="Calibri"/>
                <w:b/>
                <w:color w:val="000000"/>
                <w:sz w:val="20"/>
                <w:szCs w:val="20"/>
              </w:rPr>
            </w:pPr>
          </w:p>
        </w:tc>
        <w:tc>
          <w:tcPr>
            <w:tcW w:w="1796" w:type="dxa"/>
            <w:vAlign w:val="bottom"/>
          </w:tcPr>
          <w:p w:rsidR="00667D97" w:rsidRPr="00E35B45" w:rsidRDefault="00667D97">
            <w:pPr>
              <w:jc w:val="right"/>
              <w:rPr>
                <w:rFonts w:ascii="Calibri" w:hAnsi="Calibri"/>
                <w:b/>
                <w:color w:val="000000"/>
                <w:sz w:val="20"/>
                <w:szCs w:val="20"/>
              </w:rPr>
            </w:pPr>
          </w:p>
        </w:tc>
      </w:tr>
      <w:tr w:rsidR="00D405EB" w:rsidRPr="00E35B45" w:rsidTr="00FF30AD">
        <w:tc>
          <w:tcPr>
            <w:tcW w:w="3652" w:type="dxa"/>
            <w:vAlign w:val="bottom"/>
          </w:tcPr>
          <w:p w:rsidR="00D405EB" w:rsidRPr="00E35B45" w:rsidRDefault="00D405EB" w:rsidP="00FF30AD">
            <w:pPr>
              <w:rPr>
                <w:rFonts w:ascii="Calibri" w:hAnsi="Calibri"/>
                <w:color w:val="000000"/>
                <w:sz w:val="20"/>
                <w:szCs w:val="20"/>
              </w:rPr>
            </w:pPr>
            <w:r w:rsidRPr="00E35B45">
              <w:rPr>
                <w:rFonts w:ascii="Calibri" w:hAnsi="Calibri"/>
                <w:color w:val="000000"/>
                <w:sz w:val="20"/>
                <w:szCs w:val="20"/>
              </w:rPr>
              <w:t xml:space="preserve"> - за осигуряване на съдове за съхраняване на битовите отпадъци - контейнери, кофи и други (лв.)</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12,32</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2,46</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2,69</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0,34</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0,00</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2,41</w:t>
            </w:r>
          </w:p>
        </w:tc>
      </w:tr>
      <w:tr w:rsidR="00D405EB" w:rsidRPr="00E35B45" w:rsidTr="00FF30AD">
        <w:tc>
          <w:tcPr>
            <w:tcW w:w="3652" w:type="dxa"/>
            <w:vAlign w:val="bottom"/>
          </w:tcPr>
          <w:p w:rsidR="00D405EB" w:rsidRPr="00E35B45" w:rsidRDefault="00D405EB" w:rsidP="00FF30AD">
            <w:pPr>
              <w:rPr>
                <w:rFonts w:ascii="Calibri" w:hAnsi="Calibri"/>
                <w:color w:val="000000"/>
                <w:sz w:val="20"/>
                <w:szCs w:val="20"/>
              </w:rPr>
            </w:pPr>
            <w:r w:rsidRPr="00E35B45">
              <w:rPr>
                <w:rFonts w:ascii="Calibri" w:hAnsi="Calibri"/>
                <w:color w:val="000000"/>
                <w:sz w:val="20"/>
                <w:szCs w:val="20"/>
              </w:rPr>
              <w:t xml:space="preserve"> - за събиране, включително разделно на битовите отпадъци и транспортирането им до депата или други инсталации и съоръжения за третирането им (лв.)</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114,55</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55,13</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77,60</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73,16</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168,41</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79,42</w:t>
            </w:r>
          </w:p>
        </w:tc>
      </w:tr>
      <w:tr w:rsidR="00D405EB" w:rsidRPr="00E35B45" w:rsidTr="00FF30AD">
        <w:tc>
          <w:tcPr>
            <w:tcW w:w="3652" w:type="dxa"/>
            <w:vAlign w:val="bottom"/>
          </w:tcPr>
          <w:p w:rsidR="00D405EB" w:rsidRPr="00E35B45" w:rsidRDefault="00D405EB" w:rsidP="00FF30AD">
            <w:pPr>
              <w:rPr>
                <w:rFonts w:ascii="Calibri" w:hAnsi="Calibri"/>
                <w:color w:val="000000"/>
                <w:sz w:val="20"/>
                <w:szCs w:val="20"/>
              </w:rPr>
            </w:pPr>
            <w:r w:rsidRPr="00E35B45">
              <w:rPr>
                <w:rFonts w:ascii="Calibri" w:hAnsi="Calibri"/>
                <w:color w:val="000000"/>
                <w:sz w:val="20"/>
                <w:szCs w:val="20"/>
              </w:rPr>
              <w:t xml:space="preserve"> - за 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 включително отчисленията по чл. 60 и 64 от Закона за управление на отпадъците </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105,37</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45,29</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50,83</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63,33</w:t>
            </w:r>
          </w:p>
        </w:tc>
        <w:tc>
          <w:tcPr>
            <w:tcW w:w="1795"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113,99</w:t>
            </w:r>
          </w:p>
        </w:tc>
        <w:tc>
          <w:tcPr>
            <w:tcW w:w="1796" w:type="dxa"/>
            <w:vAlign w:val="bottom"/>
          </w:tcPr>
          <w:p w:rsidR="00D405EB" w:rsidRPr="00D405EB" w:rsidRDefault="00D405EB">
            <w:pPr>
              <w:jc w:val="right"/>
              <w:rPr>
                <w:rFonts w:ascii="Calibri" w:hAnsi="Calibri" w:cs="Calibri"/>
                <w:color w:val="000000"/>
                <w:sz w:val="20"/>
                <w:szCs w:val="20"/>
              </w:rPr>
            </w:pPr>
            <w:r w:rsidRPr="00D405EB">
              <w:rPr>
                <w:rFonts w:ascii="Calibri" w:hAnsi="Calibri" w:cs="Calibri"/>
                <w:color w:val="000000"/>
                <w:sz w:val="20"/>
                <w:szCs w:val="20"/>
              </w:rPr>
              <w:t>62,14</w:t>
            </w:r>
          </w:p>
        </w:tc>
      </w:tr>
    </w:tbl>
    <w:p w:rsidR="00A143D5" w:rsidRPr="00D071AF" w:rsidRDefault="00A143D5" w:rsidP="00A143D5">
      <w:pPr>
        <w:jc w:val="center"/>
        <w:rPr>
          <w:i/>
        </w:rPr>
      </w:pPr>
      <w:r w:rsidRPr="00D071AF">
        <w:rPr>
          <w:i/>
        </w:rPr>
        <w:t>Източник: Министерство на финансите</w:t>
      </w:r>
      <w:r w:rsidR="00D071AF" w:rsidRPr="00D071AF">
        <w:rPr>
          <w:i/>
        </w:rPr>
        <w:t xml:space="preserve">, собствени изчисления </w:t>
      </w:r>
    </w:p>
    <w:p w:rsidR="00A143D5" w:rsidRDefault="00A143D5" w:rsidP="0006204E"/>
    <w:p w:rsidR="00A143D5" w:rsidRDefault="00A143D5" w:rsidP="0006204E"/>
    <w:p w:rsidR="00A143D5" w:rsidRDefault="00A143D5" w:rsidP="0006204E"/>
    <w:p w:rsidR="00A143D5" w:rsidRDefault="00A143D5" w:rsidP="0006204E">
      <w:pPr>
        <w:sectPr w:rsidR="00A143D5" w:rsidSect="00A143D5">
          <w:pgSz w:w="16838" w:h="11906" w:orient="landscape" w:code="9"/>
          <w:pgMar w:top="1417" w:right="1417" w:bottom="1417" w:left="1417" w:header="708" w:footer="0" w:gutter="0"/>
          <w:cols w:space="708"/>
          <w:docGrid w:linePitch="360"/>
        </w:sectPr>
      </w:pPr>
    </w:p>
    <w:p w:rsidR="00A143D5" w:rsidRDefault="00BA0A9B" w:rsidP="00BA0A9B">
      <w:pPr>
        <w:pStyle w:val="3"/>
      </w:pPr>
      <w:bookmarkStart w:id="26" w:name="_Toc68855854"/>
      <w:r>
        <w:lastRenderedPageBreak/>
        <w:t>Финансиране от ПУДООС</w:t>
      </w:r>
      <w:bookmarkEnd w:id="26"/>
    </w:p>
    <w:p w:rsidR="00BA0A9B" w:rsidRDefault="00AF6624" w:rsidP="0006204E">
      <w:r>
        <w:t xml:space="preserve">Изразходваните средства за безвъзмездна помощ </w:t>
      </w:r>
      <w:r w:rsidR="008E1600">
        <w:t>от ПУДООС по политики на околнат</w:t>
      </w:r>
      <w:r>
        <w:t>а среда в периода 2014-2018 г. са представени в следващата таблица. Не се наблюдава ясно изразена тенденция в динамиката на финансирането по политиката</w:t>
      </w:r>
      <w:r w:rsidR="008E1600">
        <w:t>,</w:t>
      </w:r>
      <w:r>
        <w:t xml:space="preserve"> свързана с управлението на отпадъците, което е обуславя от механизма на отпускане на средствата (на проектен принцип и след включване на съответния проект в приложение към Закона за държавния бюджет на Република България за съответната година. </w:t>
      </w:r>
      <w:r w:rsidR="00FF30AD">
        <w:t>Като цяло през разглеждания период спада относителният дял на финансирането на проекти по отпадъците в общо предоставената безвъзмездна помощ от ПУДООС (от 56.1% през 2015 г. на 33.8% през 2018 г.).</w:t>
      </w:r>
    </w:p>
    <w:p w:rsidR="00884C96" w:rsidRDefault="00884C96" w:rsidP="00884C96">
      <w:pPr>
        <w:pStyle w:val="Caption"/>
      </w:pPr>
      <w:bookmarkStart w:id="27" w:name="_Toc45719034"/>
      <w:r>
        <w:t xml:space="preserve">Таблица </w:t>
      </w:r>
      <w:r w:rsidR="00680D95">
        <w:fldChar w:fldCharType="begin"/>
      </w:r>
      <w:r>
        <w:instrText xml:space="preserve"> SEQ Таблица \* ARABIC </w:instrText>
      </w:r>
      <w:r w:rsidR="00680D95">
        <w:fldChar w:fldCharType="separate"/>
      </w:r>
      <w:r w:rsidR="000F1791">
        <w:rPr>
          <w:noProof/>
        </w:rPr>
        <w:t>10</w:t>
      </w:r>
      <w:r w:rsidR="00680D95">
        <w:fldChar w:fldCharType="end"/>
      </w:r>
      <w:r>
        <w:t xml:space="preserve">. </w:t>
      </w:r>
      <w:r w:rsidRPr="001B1ECF">
        <w:rPr>
          <w:szCs w:val="24"/>
        </w:rPr>
        <w:t>Изразходвани</w:t>
      </w:r>
      <w:r>
        <w:rPr>
          <w:szCs w:val="24"/>
        </w:rPr>
        <w:t xml:space="preserve"> </w:t>
      </w:r>
      <w:r w:rsidRPr="001B1ECF">
        <w:rPr>
          <w:szCs w:val="24"/>
        </w:rPr>
        <w:t>средства за безвъзмездн</w:t>
      </w:r>
      <w:r w:rsidR="00AF6624">
        <w:rPr>
          <w:szCs w:val="24"/>
        </w:rPr>
        <w:t>а помощ</w:t>
      </w:r>
      <w:r>
        <w:rPr>
          <w:szCs w:val="24"/>
        </w:rPr>
        <w:t xml:space="preserve"> от ПУДООС по политики на околната среда (лв.)</w:t>
      </w:r>
      <w:bookmarkEnd w:id="27"/>
    </w:p>
    <w:tbl>
      <w:tblPr>
        <w:tblW w:w="10251" w:type="dxa"/>
        <w:jc w:val="center"/>
        <w:tblLayout w:type="fixed"/>
        <w:tblLook w:val="04A0" w:firstRow="1" w:lastRow="0" w:firstColumn="1" w:lastColumn="0" w:noHBand="0" w:noVBand="1"/>
      </w:tblPr>
      <w:tblGrid>
        <w:gridCol w:w="2142"/>
        <w:gridCol w:w="1621"/>
        <w:gridCol w:w="1622"/>
        <w:gridCol w:w="1622"/>
        <w:gridCol w:w="1622"/>
        <w:gridCol w:w="1622"/>
      </w:tblGrid>
      <w:tr w:rsidR="00884C96" w:rsidRPr="00884C96" w:rsidTr="00344590">
        <w:trPr>
          <w:trHeight w:val="300"/>
          <w:jc w:val="center"/>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C96" w:rsidRPr="00884C96" w:rsidRDefault="00884C96" w:rsidP="00884C96">
            <w:pPr>
              <w:spacing w:after="0"/>
              <w:jc w:val="left"/>
              <w:rPr>
                <w:rFonts w:ascii="Calibri" w:eastAsia="Times New Roman" w:hAnsi="Calibri"/>
                <w:color w:val="000000"/>
                <w:sz w:val="22"/>
                <w:lang w:val="en-GB" w:eastAsia="en-GB"/>
              </w:rPr>
            </w:pPr>
            <w:r w:rsidRPr="00884C96">
              <w:rPr>
                <w:rFonts w:ascii="Calibri" w:eastAsia="Times New Roman" w:hAnsi="Calibri"/>
                <w:color w:val="000000"/>
                <w:sz w:val="22"/>
                <w:lang w:val="en-GB" w:eastAsia="en-GB"/>
              </w:rPr>
              <w:t> </w:t>
            </w:r>
          </w:p>
        </w:tc>
        <w:tc>
          <w:tcPr>
            <w:tcW w:w="1621" w:type="dxa"/>
            <w:tcBorders>
              <w:top w:val="single" w:sz="4" w:space="0" w:color="auto"/>
              <w:left w:val="nil"/>
              <w:bottom w:val="single" w:sz="4" w:space="0" w:color="auto"/>
              <w:right w:val="single" w:sz="4" w:space="0" w:color="auto"/>
            </w:tcBorders>
            <w:shd w:val="clear" w:color="auto" w:fill="auto"/>
            <w:noWrap/>
            <w:vAlign w:val="bottom"/>
            <w:hideMark/>
          </w:tcPr>
          <w:p w:rsidR="00884C96" w:rsidRPr="00884C96" w:rsidRDefault="00884C96" w:rsidP="00884C96">
            <w:pPr>
              <w:spacing w:after="0"/>
              <w:jc w:val="center"/>
              <w:rPr>
                <w:rFonts w:ascii="Calibri" w:eastAsia="Times New Roman" w:hAnsi="Calibri"/>
                <w:b/>
                <w:bCs/>
                <w:color w:val="000000"/>
                <w:sz w:val="22"/>
                <w:lang w:val="en-GB" w:eastAsia="en-GB"/>
              </w:rPr>
            </w:pPr>
            <w:r w:rsidRPr="00884C96">
              <w:rPr>
                <w:rFonts w:ascii="Calibri" w:eastAsia="Times New Roman" w:hAnsi="Calibri"/>
                <w:b/>
                <w:bCs/>
                <w:color w:val="000000"/>
                <w:sz w:val="22"/>
                <w:lang w:val="en-GB" w:eastAsia="en-GB"/>
              </w:rPr>
              <w:t>2014</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rsidR="00884C96" w:rsidRPr="00884C96" w:rsidRDefault="00884C96" w:rsidP="00884C96">
            <w:pPr>
              <w:spacing w:after="0"/>
              <w:jc w:val="center"/>
              <w:rPr>
                <w:rFonts w:ascii="Calibri" w:eastAsia="Times New Roman" w:hAnsi="Calibri"/>
                <w:b/>
                <w:bCs/>
                <w:color w:val="000000"/>
                <w:sz w:val="22"/>
                <w:lang w:val="en-GB" w:eastAsia="en-GB"/>
              </w:rPr>
            </w:pPr>
            <w:r w:rsidRPr="00884C96">
              <w:rPr>
                <w:rFonts w:ascii="Calibri" w:eastAsia="Times New Roman" w:hAnsi="Calibri"/>
                <w:b/>
                <w:bCs/>
                <w:color w:val="000000"/>
                <w:sz w:val="22"/>
                <w:lang w:val="en-GB" w:eastAsia="en-GB"/>
              </w:rPr>
              <w:t>2015</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rsidR="00884C96" w:rsidRPr="00884C96" w:rsidRDefault="00884C96" w:rsidP="00884C96">
            <w:pPr>
              <w:spacing w:after="0"/>
              <w:jc w:val="center"/>
              <w:rPr>
                <w:rFonts w:ascii="Calibri" w:eastAsia="Times New Roman" w:hAnsi="Calibri"/>
                <w:b/>
                <w:bCs/>
                <w:color w:val="000000"/>
                <w:sz w:val="22"/>
                <w:lang w:val="en-GB" w:eastAsia="en-GB"/>
              </w:rPr>
            </w:pPr>
            <w:r w:rsidRPr="00884C96">
              <w:rPr>
                <w:rFonts w:ascii="Calibri" w:eastAsia="Times New Roman" w:hAnsi="Calibri"/>
                <w:b/>
                <w:bCs/>
                <w:color w:val="000000"/>
                <w:sz w:val="22"/>
                <w:lang w:val="en-GB" w:eastAsia="en-GB"/>
              </w:rPr>
              <w:t>2016</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rsidR="00884C96" w:rsidRPr="00884C96" w:rsidRDefault="00884C96" w:rsidP="00884C96">
            <w:pPr>
              <w:spacing w:after="0"/>
              <w:jc w:val="center"/>
              <w:rPr>
                <w:rFonts w:ascii="Calibri" w:eastAsia="Times New Roman" w:hAnsi="Calibri"/>
                <w:b/>
                <w:bCs/>
                <w:color w:val="000000"/>
                <w:sz w:val="22"/>
                <w:lang w:val="en-GB" w:eastAsia="en-GB"/>
              </w:rPr>
            </w:pPr>
            <w:r w:rsidRPr="00884C96">
              <w:rPr>
                <w:rFonts w:ascii="Calibri" w:eastAsia="Times New Roman" w:hAnsi="Calibri"/>
                <w:b/>
                <w:bCs/>
                <w:color w:val="000000"/>
                <w:sz w:val="22"/>
                <w:lang w:val="en-GB" w:eastAsia="en-GB"/>
              </w:rPr>
              <w:t>2017</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rsidR="00884C96" w:rsidRPr="00884C96" w:rsidRDefault="00884C96" w:rsidP="00884C96">
            <w:pPr>
              <w:spacing w:after="0"/>
              <w:jc w:val="center"/>
              <w:rPr>
                <w:rFonts w:ascii="Calibri" w:eastAsia="Times New Roman" w:hAnsi="Calibri"/>
                <w:b/>
                <w:bCs/>
                <w:color w:val="000000"/>
                <w:sz w:val="22"/>
                <w:lang w:val="en-GB" w:eastAsia="en-GB"/>
              </w:rPr>
            </w:pPr>
            <w:r w:rsidRPr="00884C96">
              <w:rPr>
                <w:rFonts w:ascii="Calibri" w:eastAsia="Times New Roman" w:hAnsi="Calibri"/>
                <w:b/>
                <w:bCs/>
                <w:color w:val="000000"/>
                <w:sz w:val="22"/>
                <w:lang w:val="en-GB" w:eastAsia="en-GB"/>
              </w:rPr>
              <w:t>2018</w:t>
            </w:r>
          </w:p>
        </w:tc>
      </w:tr>
      <w:tr w:rsidR="00223445" w:rsidRPr="00884C96" w:rsidTr="00344590">
        <w:trPr>
          <w:trHeight w:val="600"/>
          <w:jc w:val="center"/>
        </w:trPr>
        <w:tc>
          <w:tcPr>
            <w:tcW w:w="2142" w:type="dxa"/>
            <w:tcBorders>
              <w:top w:val="nil"/>
              <w:left w:val="single" w:sz="4" w:space="0" w:color="auto"/>
              <w:bottom w:val="single" w:sz="4" w:space="0" w:color="auto"/>
              <w:right w:val="single" w:sz="4" w:space="0" w:color="auto"/>
            </w:tcBorders>
            <w:shd w:val="clear" w:color="auto" w:fill="auto"/>
            <w:vAlign w:val="bottom"/>
            <w:hideMark/>
          </w:tcPr>
          <w:p w:rsidR="00223445" w:rsidRPr="00884C96" w:rsidRDefault="00223445" w:rsidP="00884C96">
            <w:pPr>
              <w:spacing w:after="0"/>
              <w:jc w:val="left"/>
              <w:rPr>
                <w:rFonts w:ascii="Calibri" w:eastAsia="Times New Roman" w:hAnsi="Calibri"/>
                <w:color w:val="000000"/>
                <w:sz w:val="22"/>
                <w:lang w:val="en-GB" w:eastAsia="en-GB"/>
              </w:rPr>
            </w:pPr>
            <w:r w:rsidRPr="00884C96">
              <w:rPr>
                <w:rFonts w:ascii="Calibri" w:eastAsia="Times New Roman" w:hAnsi="Calibri"/>
                <w:color w:val="000000"/>
                <w:sz w:val="22"/>
                <w:lang w:val="en-US" w:eastAsia="en-GB"/>
              </w:rPr>
              <w:t>Политика в областта на управлението на водите</w:t>
            </w:r>
          </w:p>
        </w:tc>
        <w:tc>
          <w:tcPr>
            <w:tcW w:w="1621"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18 426 191,00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32 118 114,65</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35 779 894,69</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30 812 696,00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39 685 226,00</w:t>
            </w:r>
          </w:p>
        </w:tc>
      </w:tr>
      <w:tr w:rsidR="00223445" w:rsidRPr="00884C96" w:rsidTr="00344590">
        <w:trPr>
          <w:trHeight w:val="900"/>
          <w:jc w:val="center"/>
        </w:trPr>
        <w:tc>
          <w:tcPr>
            <w:tcW w:w="2142" w:type="dxa"/>
            <w:tcBorders>
              <w:top w:val="nil"/>
              <w:left w:val="single" w:sz="4" w:space="0" w:color="auto"/>
              <w:bottom w:val="single" w:sz="4" w:space="0" w:color="auto"/>
              <w:right w:val="single" w:sz="4" w:space="0" w:color="auto"/>
            </w:tcBorders>
            <w:shd w:val="clear" w:color="auto" w:fill="auto"/>
            <w:vAlign w:val="bottom"/>
            <w:hideMark/>
          </w:tcPr>
          <w:p w:rsidR="00223445" w:rsidRPr="00884C96" w:rsidRDefault="00223445" w:rsidP="00884C96">
            <w:pPr>
              <w:spacing w:after="0"/>
              <w:jc w:val="left"/>
              <w:rPr>
                <w:rFonts w:ascii="Calibri" w:eastAsia="Times New Roman" w:hAnsi="Calibri"/>
                <w:color w:val="000000"/>
                <w:sz w:val="22"/>
                <w:lang w:val="en-GB" w:eastAsia="en-GB"/>
              </w:rPr>
            </w:pPr>
            <w:r w:rsidRPr="00884C96">
              <w:rPr>
                <w:rFonts w:ascii="Calibri" w:eastAsia="Times New Roman" w:hAnsi="Calibri"/>
                <w:color w:val="000000"/>
                <w:sz w:val="22"/>
                <w:lang w:val="en-US" w:eastAsia="en-GB"/>
              </w:rPr>
              <w:t>Политика в областта на управлението на отпадъците</w:t>
            </w:r>
          </w:p>
        </w:tc>
        <w:tc>
          <w:tcPr>
            <w:tcW w:w="1621"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15 351 713,00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47 242 717,20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37 292 204,25</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19 143 027,00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22 154 712,00</w:t>
            </w:r>
          </w:p>
        </w:tc>
      </w:tr>
      <w:tr w:rsidR="00223445" w:rsidRPr="00884C96" w:rsidTr="00344590">
        <w:trPr>
          <w:trHeight w:val="900"/>
          <w:jc w:val="center"/>
        </w:trPr>
        <w:tc>
          <w:tcPr>
            <w:tcW w:w="2142" w:type="dxa"/>
            <w:tcBorders>
              <w:top w:val="nil"/>
              <w:left w:val="single" w:sz="4" w:space="0" w:color="auto"/>
              <w:bottom w:val="single" w:sz="4" w:space="0" w:color="auto"/>
              <w:right w:val="single" w:sz="4" w:space="0" w:color="auto"/>
            </w:tcBorders>
            <w:shd w:val="clear" w:color="auto" w:fill="auto"/>
            <w:vAlign w:val="bottom"/>
            <w:hideMark/>
          </w:tcPr>
          <w:p w:rsidR="00223445" w:rsidRPr="00884C96" w:rsidRDefault="00223445" w:rsidP="00884C96">
            <w:pPr>
              <w:spacing w:after="0"/>
              <w:jc w:val="left"/>
              <w:rPr>
                <w:rFonts w:ascii="Calibri" w:eastAsia="Times New Roman" w:hAnsi="Calibri"/>
                <w:color w:val="000000"/>
                <w:sz w:val="22"/>
                <w:lang w:val="en-GB" w:eastAsia="en-GB"/>
              </w:rPr>
            </w:pPr>
            <w:r w:rsidRPr="00884C96">
              <w:rPr>
                <w:rFonts w:ascii="Calibri" w:eastAsia="Times New Roman" w:hAnsi="Calibri"/>
                <w:color w:val="000000"/>
                <w:sz w:val="22"/>
                <w:lang w:val="en-US" w:eastAsia="en-GB"/>
              </w:rPr>
              <w:t>Политика в областта опазване чистотата на атмосферния въздух</w:t>
            </w:r>
          </w:p>
        </w:tc>
        <w:tc>
          <w:tcPr>
            <w:tcW w:w="1621"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29 861,00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75 000,00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114 000,00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139 989,00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75 200,00</w:t>
            </w:r>
          </w:p>
        </w:tc>
      </w:tr>
      <w:tr w:rsidR="00223445" w:rsidRPr="00884C96" w:rsidTr="00344590">
        <w:trPr>
          <w:trHeight w:val="900"/>
          <w:jc w:val="center"/>
        </w:trPr>
        <w:tc>
          <w:tcPr>
            <w:tcW w:w="2142" w:type="dxa"/>
            <w:tcBorders>
              <w:top w:val="nil"/>
              <w:left w:val="single" w:sz="4" w:space="0" w:color="auto"/>
              <w:bottom w:val="single" w:sz="4" w:space="0" w:color="auto"/>
              <w:right w:val="single" w:sz="4" w:space="0" w:color="auto"/>
            </w:tcBorders>
            <w:shd w:val="clear" w:color="auto" w:fill="auto"/>
            <w:vAlign w:val="bottom"/>
            <w:hideMark/>
          </w:tcPr>
          <w:p w:rsidR="00223445" w:rsidRPr="00884C96" w:rsidRDefault="00223445" w:rsidP="00884C96">
            <w:pPr>
              <w:spacing w:after="0"/>
              <w:jc w:val="left"/>
              <w:rPr>
                <w:rFonts w:ascii="Calibri" w:eastAsia="Times New Roman" w:hAnsi="Calibri"/>
                <w:color w:val="000000"/>
                <w:sz w:val="22"/>
                <w:lang w:val="en-GB" w:eastAsia="en-GB"/>
              </w:rPr>
            </w:pPr>
            <w:r w:rsidRPr="00884C96">
              <w:rPr>
                <w:rFonts w:ascii="Calibri" w:eastAsia="Times New Roman" w:hAnsi="Calibri"/>
                <w:color w:val="000000"/>
                <w:sz w:val="22"/>
                <w:lang w:val="en-US" w:eastAsia="en-GB"/>
              </w:rPr>
              <w:t>Политика в областта на управлението на биоразнообразието</w:t>
            </w:r>
          </w:p>
        </w:tc>
        <w:tc>
          <w:tcPr>
            <w:tcW w:w="1621"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417 850,00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596 781,70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500 541,23</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801 964,00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359 349,00</w:t>
            </w:r>
          </w:p>
        </w:tc>
      </w:tr>
      <w:tr w:rsidR="00223445" w:rsidRPr="00884C96" w:rsidTr="00344590">
        <w:trPr>
          <w:trHeight w:val="1200"/>
          <w:jc w:val="center"/>
        </w:trPr>
        <w:tc>
          <w:tcPr>
            <w:tcW w:w="2142" w:type="dxa"/>
            <w:tcBorders>
              <w:top w:val="nil"/>
              <w:left w:val="single" w:sz="4" w:space="0" w:color="auto"/>
              <w:bottom w:val="single" w:sz="4" w:space="0" w:color="auto"/>
              <w:right w:val="single" w:sz="4" w:space="0" w:color="auto"/>
            </w:tcBorders>
            <w:shd w:val="clear" w:color="auto" w:fill="auto"/>
            <w:vAlign w:val="bottom"/>
            <w:hideMark/>
          </w:tcPr>
          <w:p w:rsidR="00223445" w:rsidRPr="00884C96" w:rsidRDefault="00223445" w:rsidP="00884C96">
            <w:pPr>
              <w:spacing w:after="0"/>
              <w:jc w:val="left"/>
              <w:rPr>
                <w:rFonts w:ascii="Calibri" w:eastAsia="Times New Roman" w:hAnsi="Calibri"/>
                <w:color w:val="000000"/>
                <w:sz w:val="22"/>
                <w:lang w:val="en-GB" w:eastAsia="en-GB"/>
              </w:rPr>
            </w:pPr>
            <w:r w:rsidRPr="00884C96">
              <w:rPr>
                <w:rFonts w:ascii="Calibri" w:eastAsia="Times New Roman" w:hAnsi="Calibri"/>
                <w:color w:val="000000"/>
                <w:sz w:val="22"/>
                <w:lang w:val="en-US" w:eastAsia="en-GB"/>
              </w:rPr>
              <w:t>Политика за повишаване на общественото съзнание и култура, информационна и образователна дейност</w:t>
            </w:r>
          </w:p>
        </w:tc>
        <w:tc>
          <w:tcPr>
            <w:tcW w:w="1621"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2 920 868,00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4 127 413,85</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3 624 848,71</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3 628 550,00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color w:val="000000"/>
                <w:sz w:val="20"/>
                <w:szCs w:val="20"/>
              </w:rPr>
            </w:pPr>
            <w:r w:rsidRPr="00223445">
              <w:rPr>
                <w:rFonts w:ascii="Calibri" w:hAnsi="Calibri" w:cs="Calibri"/>
                <w:color w:val="000000"/>
                <w:sz w:val="20"/>
                <w:szCs w:val="20"/>
              </w:rPr>
              <w:t>3 313 518,00</w:t>
            </w:r>
          </w:p>
        </w:tc>
      </w:tr>
      <w:tr w:rsidR="00223445" w:rsidRPr="00884C96" w:rsidTr="00344590">
        <w:trPr>
          <w:trHeight w:val="300"/>
          <w:jc w:val="center"/>
        </w:trPr>
        <w:tc>
          <w:tcPr>
            <w:tcW w:w="2142" w:type="dxa"/>
            <w:tcBorders>
              <w:top w:val="nil"/>
              <w:left w:val="single" w:sz="4" w:space="0" w:color="auto"/>
              <w:bottom w:val="single" w:sz="4" w:space="0" w:color="auto"/>
              <w:right w:val="single" w:sz="4" w:space="0" w:color="auto"/>
            </w:tcBorders>
            <w:shd w:val="clear" w:color="auto" w:fill="auto"/>
            <w:vAlign w:val="bottom"/>
            <w:hideMark/>
          </w:tcPr>
          <w:p w:rsidR="00223445" w:rsidRPr="00884C96" w:rsidRDefault="00223445" w:rsidP="00884C96">
            <w:pPr>
              <w:spacing w:after="0"/>
              <w:jc w:val="left"/>
              <w:rPr>
                <w:rFonts w:ascii="Calibri" w:eastAsia="Times New Roman" w:hAnsi="Calibri"/>
                <w:b/>
                <w:color w:val="000000"/>
                <w:sz w:val="22"/>
                <w:lang w:val="en-GB" w:eastAsia="en-GB"/>
              </w:rPr>
            </w:pPr>
            <w:r w:rsidRPr="00884C96">
              <w:rPr>
                <w:rFonts w:ascii="Calibri" w:eastAsia="Times New Roman" w:hAnsi="Calibri"/>
                <w:b/>
                <w:color w:val="000000"/>
                <w:sz w:val="22"/>
                <w:lang w:val="en-GB" w:eastAsia="en-GB"/>
              </w:rPr>
              <w:t>Всичко</w:t>
            </w:r>
          </w:p>
        </w:tc>
        <w:tc>
          <w:tcPr>
            <w:tcW w:w="1621"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b/>
                <w:color w:val="000000"/>
                <w:sz w:val="20"/>
                <w:szCs w:val="20"/>
              </w:rPr>
            </w:pPr>
            <w:r w:rsidRPr="00223445">
              <w:rPr>
                <w:rFonts w:ascii="Calibri" w:hAnsi="Calibri" w:cs="Calibri"/>
                <w:b/>
                <w:color w:val="000000"/>
                <w:sz w:val="20"/>
                <w:szCs w:val="20"/>
              </w:rPr>
              <w:t>37 146 483,00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b/>
                <w:color w:val="000000"/>
                <w:sz w:val="20"/>
                <w:szCs w:val="20"/>
              </w:rPr>
            </w:pPr>
            <w:r w:rsidRPr="00223445">
              <w:rPr>
                <w:rFonts w:ascii="Calibri" w:hAnsi="Calibri" w:cs="Calibri"/>
                <w:b/>
                <w:color w:val="000000"/>
                <w:sz w:val="20"/>
                <w:szCs w:val="20"/>
              </w:rPr>
              <w:t>84 160 027,40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b/>
                <w:color w:val="000000"/>
                <w:sz w:val="20"/>
                <w:szCs w:val="20"/>
              </w:rPr>
            </w:pPr>
            <w:r w:rsidRPr="00223445">
              <w:rPr>
                <w:rFonts w:ascii="Calibri" w:hAnsi="Calibri" w:cs="Calibri"/>
                <w:b/>
                <w:color w:val="000000"/>
                <w:sz w:val="20"/>
                <w:szCs w:val="20"/>
              </w:rPr>
              <w:t>77 311 488,88</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b/>
                <w:color w:val="000000"/>
                <w:sz w:val="20"/>
                <w:szCs w:val="20"/>
              </w:rPr>
            </w:pPr>
            <w:r w:rsidRPr="00223445">
              <w:rPr>
                <w:rFonts w:ascii="Calibri" w:hAnsi="Calibri" w:cs="Calibri"/>
                <w:b/>
                <w:color w:val="000000"/>
                <w:sz w:val="20"/>
                <w:szCs w:val="20"/>
              </w:rPr>
              <w:t>54 526 226,00</w:t>
            </w:r>
          </w:p>
        </w:tc>
        <w:tc>
          <w:tcPr>
            <w:tcW w:w="1622" w:type="dxa"/>
            <w:tcBorders>
              <w:top w:val="nil"/>
              <w:left w:val="nil"/>
              <w:bottom w:val="single" w:sz="4" w:space="0" w:color="auto"/>
              <w:right w:val="single" w:sz="4" w:space="0" w:color="auto"/>
            </w:tcBorders>
            <w:shd w:val="clear" w:color="auto" w:fill="auto"/>
            <w:noWrap/>
            <w:vAlign w:val="bottom"/>
            <w:hideMark/>
          </w:tcPr>
          <w:p w:rsidR="00223445" w:rsidRPr="00223445" w:rsidRDefault="00223445">
            <w:pPr>
              <w:jc w:val="right"/>
              <w:rPr>
                <w:rFonts w:ascii="Calibri" w:hAnsi="Calibri" w:cs="Calibri"/>
                <w:b/>
                <w:color w:val="000000"/>
                <w:sz w:val="20"/>
                <w:szCs w:val="20"/>
              </w:rPr>
            </w:pPr>
            <w:r w:rsidRPr="00223445">
              <w:rPr>
                <w:rFonts w:ascii="Calibri" w:hAnsi="Calibri" w:cs="Calibri"/>
                <w:b/>
                <w:color w:val="000000"/>
                <w:sz w:val="20"/>
                <w:szCs w:val="20"/>
              </w:rPr>
              <w:t>65 588 005,00</w:t>
            </w:r>
          </w:p>
        </w:tc>
      </w:tr>
    </w:tbl>
    <w:p w:rsidR="00884C96" w:rsidRDefault="00B63C0E" w:rsidP="00B63C0E">
      <w:pPr>
        <w:jc w:val="center"/>
      </w:pPr>
      <w:r>
        <w:t>Източник: МОСВ</w:t>
      </w:r>
    </w:p>
    <w:p w:rsidR="00FF30AD" w:rsidRDefault="00C23EA8" w:rsidP="0006204E">
      <w:r>
        <w:t>ПУДООС финансира следните групи проекти</w:t>
      </w:r>
      <w:r w:rsidR="008E1600">
        <w:t>,</w:t>
      </w:r>
      <w:r>
        <w:t xml:space="preserve"> свързани с управлението на отпадъците:</w:t>
      </w:r>
    </w:p>
    <w:p w:rsidR="00C23EA8" w:rsidRPr="00917459" w:rsidRDefault="00917459" w:rsidP="00917459">
      <w:pPr>
        <w:pStyle w:val="ListParagraph"/>
        <w:numPr>
          <w:ilvl w:val="0"/>
          <w:numId w:val="12"/>
        </w:numPr>
        <w:ind w:left="714" w:hanging="357"/>
        <w:contextualSpacing w:val="0"/>
      </w:pPr>
      <w:r w:rsidRPr="00917459">
        <w:t>З</w:t>
      </w:r>
      <w:r w:rsidRPr="00917459">
        <w:rPr>
          <w:rFonts w:ascii="Calibri" w:hAnsi="Calibri"/>
        </w:rPr>
        <w:t>акриване и рекултивация на общиски депа за битови отпадъци</w:t>
      </w:r>
      <w:r w:rsidR="00C23EA8">
        <w:t xml:space="preserve"> </w:t>
      </w:r>
    </w:p>
    <w:p w:rsidR="00917459" w:rsidRPr="002675AC" w:rsidRDefault="000F2DE6" w:rsidP="00917459">
      <w:pPr>
        <w:pStyle w:val="ListParagraph"/>
        <w:numPr>
          <w:ilvl w:val="0"/>
          <w:numId w:val="12"/>
        </w:numPr>
        <w:ind w:left="714" w:hanging="357"/>
        <w:contextualSpacing w:val="0"/>
      </w:pPr>
      <w:r>
        <w:rPr>
          <w:lang w:val="bg-BG"/>
        </w:rPr>
        <w:t>Разширение</w:t>
      </w:r>
      <w:r w:rsidR="00D54326">
        <w:rPr>
          <w:lang w:val="bg-BG"/>
        </w:rPr>
        <w:t>,</w:t>
      </w:r>
      <w:r>
        <w:rPr>
          <w:lang w:val="bg-BG"/>
        </w:rPr>
        <w:t xml:space="preserve"> реконструкция </w:t>
      </w:r>
      <w:r w:rsidR="00D54326">
        <w:rPr>
          <w:lang w:val="bg-BG"/>
        </w:rPr>
        <w:t xml:space="preserve">и модернизация </w:t>
      </w:r>
      <w:r>
        <w:rPr>
          <w:lang w:val="bg-BG"/>
        </w:rPr>
        <w:t>на регионални</w:t>
      </w:r>
      <w:r w:rsidR="002675AC">
        <w:rPr>
          <w:lang w:val="bg-BG"/>
        </w:rPr>
        <w:t xml:space="preserve"> депа за битови отпадъци</w:t>
      </w:r>
    </w:p>
    <w:p w:rsidR="002675AC" w:rsidRDefault="002675AC" w:rsidP="00116480">
      <w:pPr>
        <w:pStyle w:val="ListParagraph"/>
        <w:numPr>
          <w:ilvl w:val="0"/>
          <w:numId w:val="12"/>
        </w:numPr>
        <w:ind w:left="714" w:hanging="357"/>
        <w:contextualSpacing w:val="0"/>
      </w:pPr>
      <w:r>
        <w:rPr>
          <w:lang w:val="bg-BG"/>
        </w:rPr>
        <w:t>Изграждане на сепариращи инсталации</w:t>
      </w:r>
      <w:r w:rsidRPr="002675AC">
        <w:rPr>
          <w:lang w:val="bg-BG"/>
        </w:rPr>
        <w:t xml:space="preserve"> </w:t>
      </w:r>
      <w:r>
        <w:rPr>
          <w:lang w:val="bg-BG"/>
        </w:rPr>
        <w:t>за битови отпадъци</w:t>
      </w:r>
    </w:p>
    <w:p w:rsidR="00C23EA8" w:rsidRDefault="00C23EA8" w:rsidP="0006204E"/>
    <w:p w:rsidR="00C23EA8" w:rsidRDefault="00C23EA8" w:rsidP="0006204E">
      <w:pPr>
        <w:rPr>
          <w:lang w:val="en-US"/>
        </w:rPr>
      </w:pPr>
    </w:p>
    <w:p w:rsidR="006C7F71" w:rsidRDefault="006C7F71" w:rsidP="0006204E">
      <w:pPr>
        <w:rPr>
          <w:lang w:val="en-US"/>
        </w:rPr>
      </w:pPr>
    </w:p>
    <w:p w:rsidR="006C7F71" w:rsidRDefault="006C7F71" w:rsidP="006C7F71">
      <w:pPr>
        <w:pStyle w:val="3"/>
      </w:pPr>
      <w:bookmarkStart w:id="28" w:name="_Toc68855855"/>
      <w:r>
        <w:lastRenderedPageBreak/>
        <w:t>Възможности за финансиране на изграждането и експлоатацията на инфраструктура за управление на отпадъците</w:t>
      </w:r>
      <w:bookmarkEnd w:id="28"/>
    </w:p>
    <w:p w:rsidR="006C7F71" w:rsidRDefault="006C7F71" w:rsidP="0006204E">
      <w:pPr>
        <w:rPr>
          <w:lang w:val="en-US"/>
        </w:rPr>
      </w:pPr>
    </w:p>
    <w:p w:rsidR="003A3A79" w:rsidRDefault="003A3A79" w:rsidP="0006204E">
      <w:r>
        <w:t>Общините в България имат отговарят за предоставянето на следните три важни услуги, свързани с управлението на отпадъците:</w:t>
      </w:r>
    </w:p>
    <w:p w:rsidR="003A3A79" w:rsidRPr="00DF6B31" w:rsidRDefault="003A3A79" w:rsidP="003A3A79">
      <w:pPr>
        <w:pStyle w:val="ListParagraph"/>
        <w:numPr>
          <w:ilvl w:val="0"/>
          <w:numId w:val="21"/>
        </w:numPr>
        <w:ind w:left="714" w:hanging="357"/>
        <w:contextualSpacing w:val="0"/>
        <w:rPr>
          <w:rFonts w:cstheme="minorHAnsi"/>
          <w:szCs w:val="22"/>
          <w:lang w:val="bg-BG"/>
        </w:rPr>
      </w:pPr>
      <w:r w:rsidRPr="00DF6B31">
        <w:rPr>
          <w:rFonts w:cstheme="minorHAnsi"/>
          <w:szCs w:val="22"/>
          <w:lang w:val="bg-BG"/>
        </w:rPr>
        <w:t>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с изключение на разделното събиране, предварителното съхраняване и транспортирането на битовите отпадъци, попадащи в управлението на масово разпространени отпадъци по Закона за управление на отпадъците</w:t>
      </w:r>
    </w:p>
    <w:p w:rsidR="003A3A79" w:rsidRPr="00DF6B31" w:rsidRDefault="003A3A79" w:rsidP="003A3A79">
      <w:pPr>
        <w:pStyle w:val="ListParagraph"/>
        <w:numPr>
          <w:ilvl w:val="0"/>
          <w:numId w:val="21"/>
        </w:numPr>
        <w:ind w:left="714" w:hanging="357"/>
        <w:contextualSpacing w:val="0"/>
        <w:rPr>
          <w:rFonts w:cstheme="minorHAnsi"/>
          <w:szCs w:val="22"/>
          <w:lang w:val="bg-BG"/>
        </w:rPr>
      </w:pPr>
      <w:r w:rsidRPr="00DF6B31">
        <w:rPr>
          <w:rFonts w:cstheme="minorHAnsi"/>
          <w:szCs w:val="22"/>
          <w:lang w:val="bg-BG"/>
        </w:rPr>
        <w:t>третиране на битови отпадъци, необхванати в управлението на масово разпространените отпадъци, както и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w:t>
      </w:r>
    </w:p>
    <w:p w:rsidR="003A3A79" w:rsidRPr="00DF6B31" w:rsidRDefault="003A3A79" w:rsidP="003A3A79">
      <w:pPr>
        <w:pStyle w:val="ListParagraph"/>
        <w:numPr>
          <w:ilvl w:val="0"/>
          <w:numId w:val="21"/>
        </w:numPr>
        <w:ind w:left="714" w:hanging="357"/>
        <w:contextualSpacing w:val="0"/>
        <w:rPr>
          <w:rFonts w:cstheme="minorHAnsi"/>
          <w:szCs w:val="22"/>
          <w:lang w:val="bg-BG"/>
        </w:rPr>
      </w:pPr>
      <w:r w:rsidRPr="00DF6B31">
        <w:rPr>
          <w:rFonts w:cstheme="minorHAnsi"/>
          <w:szCs w:val="22"/>
          <w:lang w:val="bg-BG"/>
        </w:rPr>
        <w:t>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w:t>
      </w:r>
    </w:p>
    <w:p w:rsidR="003A3A79" w:rsidRDefault="003A3A79" w:rsidP="0006204E">
      <w:pPr>
        <w:rPr>
          <w:rFonts w:cstheme="minorHAnsi"/>
          <w:sz w:val="22"/>
        </w:rPr>
      </w:pPr>
      <w:r>
        <w:t xml:space="preserve">Предоставянето на тези услуги включва както изграждането на съответната инфраструктура, така и нейната експлоатация. За целта </w:t>
      </w:r>
      <w:r w:rsidR="00E97EDC">
        <w:rPr>
          <w:rFonts w:cstheme="minorHAnsi"/>
          <w:sz w:val="22"/>
        </w:rPr>
        <w:t>н</w:t>
      </w:r>
      <w:r w:rsidRPr="00DF6B31">
        <w:rPr>
          <w:rFonts w:cstheme="minorHAnsi"/>
          <w:sz w:val="22"/>
        </w:rPr>
        <w:t>а основание чл.62 от Закона за местните данъци и такси</w:t>
      </w:r>
      <w:r w:rsidR="00E97EDC">
        <w:rPr>
          <w:rFonts w:cstheme="minorHAnsi"/>
          <w:sz w:val="22"/>
        </w:rPr>
        <w:t xml:space="preserve"> общините събират такса </w:t>
      </w:r>
      <w:r w:rsidR="00FC650D">
        <w:rPr>
          <w:rFonts w:cstheme="minorHAnsi"/>
          <w:sz w:val="22"/>
        </w:rPr>
        <w:t xml:space="preserve">за </w:t>
      </w:r>
      <w:r w:rsidR="00E97EDC">
        <w:rPr>
          <w:rFonts w:cstheme="minorHAnsi"/>
          <w:sz w:val="22"/>
        </w:rPr>
        <w:t>битови отпадъци. Размерът на таксата се определя като промил върху данъчната оценка/отчетната стойност на съответния имот, като се заплаща от неговия собственик – население/юридически лица.</w:t>
      </w:r>
    </w:p>
    <w:p w:rsidR="000F1791" w:rsidRDefault="000F1791" w:rsidP="0006204E">
      <w:pPr>
        <w:rPr>
          <w:rFonts w:cstheme="minorHAnsi"/>
          <w:sz w:val="22"/>
        </w:rPr>
      </w:pPr>
      <w:r>
        <w:rPr>
          <w:rFonts w:cstheme="minorHAnsi"/>
          <w:sz w:val="22"/>
        </w:rPr>
        <w:t>При определянето на нивото на таксата за населението е необходимо да се съблюдава изискването за таван на поносимост</w:t>
      </w:r>
      <w:r w:rsidR="00DF4183">
        <w:rPr>
          <w:rFonts w:cstheme="minorHAnsi"/>
          <w:sz w:val="22"/>
        </w:rPr>
        <w:t>. Съгласно европейските изисквания, таванът на поносимост за разходите за управление на отпадъците</w:t>
      </w:r>
      <w:r w:rsidR="0026320E">
        <w:rPr>
          <w:rFonts w:cstheme="minorHAnsi"/>
          <w:sz w:val="22"/>
        </w:rPr>
        <w:t xml:space="preserve"> (това са разходите на общините без тези за поддържане на чистота на обществени площи)</w:t>
      </w:r>
      <w:r w:rsidR="00DF4183">
        <w:rPr>
          <w:rFonts w:cstheme="minorHAnsi"/>
          <w:sz w:val="22"/>
        </w:rPr>
        <w:t xml:space="preserve"> се определя като 1,5</w:t>
      </w:r>
      <w:r w:rsidR="0026320E">
        <w:rPr>
          <w:rFonts w:cstheme="minorHAnsi"/>
          <w:sz w:val="22"/>
        </w:rPr>
        <w:t>%</w:t>
      </w:r>
      <w:r w:rsidR="00DF4183">
        <w:rPr>
          <w:rFonts w:cstheme="minorHAnsi"/>
          <w:sz w:val="22"/>
        </w:rPr>
        <w:t xml:space="preserve"> от средногодишните доходи на най-нискодоходните групи от населението (1-3 децилна група).</w:t>
      </w:r>
      <w:r w:rsidR="0026320E">
        <w:rPr>
          <w:rFonts w:cstheme="minorHAnsi"/>
          <w:sz w:val="22"/>
        </w:rPr>
        <w:t xml:space="preserve"> В следващата таблица е представено изчисляването на тавана на поносимост средно за страната. </w:t>
      </w:r>
    </w:p>
    <w:p w:rsidR="00D415F7" w:rsidRDefault="000F1791" w:rsidP="000F1791">
      <w:pPr>
        <w:pStyle w:val="Caption"/>
        <w:rPr>
          <w:rFonts w:cstheme="minorHAnsi"/>
          <w:sz w:val="22"/>
        </w:rPr>
      </w:pPr>
      <w:r>
        <w:t xml:space="preserve">Таблица </w:t>
      </w:r>
      <w:r>
        <w:fldChar w:fldCharType="begin"/>
      </w:r>
      <w:r>
        <w:instrText xml:space="preserve"> SEQ Таблица \* ARABIC </w:instrText>
      </w:r>
      <w:r>
        <w:fldChar w:fldCharType="separate"/>
      </w:r>
      <w:r>
        <w:rPr>
          <w:noProof/>
        </w:rPr>
        <w:t>11</w:t>
      </w:r>
      <w:r>
        <w:fldChar w:fldCharType="end"/>
      </w:r>
      <w:r>
        <w:t>. Таван на поносимост на разходите за управление на отпадъците за населението и възможни</w:t>
      </w:r>
    </w:p>
    <w:tbl>
      <w:tblPr>
        <w:tblW w:w="5000" w:type="pct"/>
        <w:jc w:val="center"/>
        <w:tblCellMar>
          <w:left w:w="70" w:type="dxa"/>
          <w:right w:w="70" w:type="dxa"/>
        </w:tblCellMar>
        <w:tblLook w:val="04A0" w:firstRow="1" w:lastRow="0" w:firstColumn="1" w:lastColumn="0" w:noHBand="0" w:noVBand="1"/>
      </w:tblPr>
      <w:tblGrid>
        <w:gridCol w:w="2354"/>
        <w:gridCol w:w="1143"/>
        <w:gridCol w:w="1143"/>
        <w:gridCol w:w="1143"/>
        <w:gridCol w:w="1143"/>
        <w:gridCol w:w="1143"/>
        <w:gridCol w:w="1143"/>
      </w:tblGrid>
      <w:tr w:rsidR="000F1791" w:rsidRPr="000F1791" w:rsidTr="00DF4183">
        <w:trPr>
          <w:trHeight w:val="300"/>
          <w:tblHeader/>
          <w:jc w:val="center"/>
        </w:trPr>
        <w:tc>
          <w:tcPr>
            <w:tcW w:w="12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 </w:t>
            </w:r>
          </w:p>
        </w:tc>
        <w:tc>
          <w:tcPr>
            <w:tcW w:w="620" w:type="pct"/>
            <w:tcBorders>
              <w:top w:val="single" w:sz="4" w:space="0" w:color="auto"/>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center"/>
              <w:rPr>
                <w:rFonts w:ascii="Calibri" w:eastAsia="Times New Roman" w:hAnsi="Calibri" w:cs="Calibri"/>
                <w:b/>
                <w:bCs/>
                <w:color w:val="000000"/>
                <w:sz w:val="20"/>
                <w:szCs w:val="20"/>
                <w:lang w:eastAsia="bg-BG"/>
              </w:rPr>
            </w:pPr>
            <w:r w:rsidRPr="000F1791">
              <w:rPr>
                <w:rFonts w:ascii="Calibri" w:eastAsia="Times New Roman" w:hAnsi="Calibri" w:cs="Calibri"/>
                <w:b/>
                <w:bCs/>
                <w:color w:val="000000"/>
                <w:sz w:val="20"/>
                <w:szCs w:val="20"/>
                <w:lang w:eastAsia="bg-BG"/>
              </w:rPr>
              <w:t>2013</w:t>
            </w:r>
          </w:p>
        </w:tc>
        <w:tc>
          <w:tcPr>
            <w:tcW w:w="620" w:type="pct"/>
            <w:tcBorders>
              <w:top w:val="single" w:sz="4" w:space="0" w:color="auto"/>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center"/>
              <w:rPr>
                <w:rFonts w:ascii="Calibri" w:eastAsia="Times New Roman" w:hAnsi="Calibri" w:cs="Calibri"/>
                <w:b/>
                <w:bCs/>
                <w:color w:val="000000"/>
                <w:sz w:val="20"/>
                <w:szCs w:val="20"/>
                <w:lang w:eastAsia="bg-BG"/>
              </w:rPr>
            </w:pPr>
            <w:r w:rsidRPr="000F1791">
              <w:rPr>
                <w:rFonts w:ascii="Calibri" w:eastAsia="Times New Roman" w:hAnsi="Calibri" w:cs="Calibri"/>
                <w:b/>
                <w:bCs/>
                <w:color w:val="000000"/>
                <w:sz w:val="20"/>
                <w:szCs w:val="20"/>
                <w:lang w:eastAsia="bg-BG"/>
              </w:rPr>
              <w:t>2014</w:t>
            </w:r>
          </w:p>
        </w:tc>
        <w:tc>
          <w:tcPr>
            <w:tcW w:w="620" w:type="pct"/>
            <w:tcBorders>
              <w:top w:val="single" w:sz="4" w:space="0" w:color="auto"/>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center"/>
              <w:rPr>
                <w:rFonts w:ascii="Calibri" w:eastAsia="Times New Roman" w:hAnsi="Calibri" w:cs="Calibri"/>
                <w:b/>
                <w:bCs/>
                <w:color w:val="000000"/>
                <w:sz w:val="20"/>
                <w:szCs w:val="20"/>
                <w:lang w:eastAsia="bg-BG"/>
              </w:rPr>
            </w:pPr>
            <w:r w:rsidRPr="000F1791">
              <w:rPr>
                <w:rFonts w:ascii="Calibri" w:eastAsia="Times New Roman" w:hAnsi="Calibri" w:cs="Calibri"/>
                <w:b/>
                <w:bCs/>
                <w:color w:val="000000"/>
                <w:sz w:val="20"/>
                <w:szCs w:val="20"/>
                <w:lang w:eastAsia="bg-BG"/>
              </w:rPr>
              <w:t>2015</w:t>
            </w:r>
          </w:p>
        </w:tc>
        <w:tc>
          <w:tcPr>
            <w:tcW w:w="620" w:type="pct"/>
            <w:tcBorders>
              <w:top w:val="single" w:sz="4" w:space="0" w:color="auto"/>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center"/>
              <w:rPr>
                <w:rFonts w:ascii="Calibri" w:eastAsia="Times New Roman" w:hAnsi="Calibri" w:cs="Calibri"/>
                <w:b/>
                <w:bCs/>
                <w:color w:val="000000"/>
                <w:sz w:val="20"/>
                <w:szCs w:val="20"/>
                <w:lang w:eastAsia="bg-BG"/>
              </w:rPr>
            </w:pPr>
            <w:r w:rsidRPr="000F1791">
              <w:rPr>
                <w:rFonts w:ascii="Calibri" w:eastAsia="Times New Roman" w:hAnsi="Calibri" w:cs="Calibri"/>
                <w:b/>
                <w:bCs/>
                <w:color w:val="000000"/>
                <w:sz w:val="20"/>
                <w:szCs w:val="20"/>
                <w:lang w:eastAsia="bg-BG"/>
              </w:rPr>
              <w:t>2016</w:t>
            </w:r>
          </w:p>
        </w:tc>
        <w:tc>
          <w:tcPr>
            <w:tcW w:w="620" w:type="pct"/>
            <w:tcBorders>
              <w:top w:val="single" w:sz="4" w:space="0" w:color="auto"/>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center"/>
              <w:rPr>
                <w:rFonts w:ascii="Calibri" w:eastAsia="Times New Roman" w:hAnsi="Calibri" w:cs="Calibri"/>
                <w:b/>
                <w:bCs/>
                <w:color w:val="000000"/>
                <w:sz w:val="20"/>
                <w:szCs w:val="20"/>
                <w:lang w:eastAsia="bg-BG"/>
              </w:rPr>
            </w:pPr>
            <w:r w:rsidRPr="000F1791">
              <w:rPr>
                <w:rFonts w:ascii="Calibri" w:eastAsia="Times New Roman" w:hAnsi="Calibri" w:cs="Calibri"/>
                <w:b/>
                <w:bCs/>
                <w:color w:val="000000"/>
                <w:sz w:val="20"/>
                <w:szCs w:val="20"/>
                <w:lang w:eastAsia="bg-BG"/>
              </w:rPr>
              <w:t>2017</w:t>
            </w:r>
          </w:p>
        </w:tc>
        <w:tc>
          <w:tcPr>
            <w:tcW w:w="620" w:type="pct"/>
            <w:tcBorders>
              <w:top w:val="single" w:sz="4" w:space="0" w:color="auto"/>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center"/>
              <w:rPr>
                <w:rFonts w:ascii="Calibri" w:eastAsia="Times New Roman" w:hAnsi="Calibri" w:cs="Calibri"/>
                <w:b/>
                <w:bCs/>
                <w:color w:val="000000"/>
                <w:sz w:val="20"/>
                <w:szCs w:val="20"/>
                <w:lang w:eastAsia="bg-BG"/>
              </w:rPr>
            </w:pPr>
            <w:r w:rsidRPr="000F1791">
              <w:rPr>
                <w:rFonts w:ascii="Calibri" w:eastAsia="Times New Roman" w:hAnsi="Calibri" w:cs="Calibri"/>
                <w:b/>
                <w:bCs/>
                <w:color w:val="000000"/>
                <w:sz w:val="20"/>
                <w:szCs w:val="20"/>
                <w:lang w:eastAsia="bg-BG"/>
              </w:rPr>
              <w:t>2018</w:t>
            </w:r>
          </w:p>
        </w:tc>
      </w:tr>
      <w:tr w:rsidR="000F1791" w:rsidRPr="000F1791" w:rsidTr="000F1791">
        <w:trPr>
          <w:trHeight w:val="300"/>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Приходи от ТБО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489 847 933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504 210 745</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513 023 888</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553 016 776</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561 808 191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590 815 657</w:t>
            </w:r>
          </w:p>
        </w:tc>
      </w:tr>
      <w:tr w:rsidR="000F1791" w:rsidRPr="000F1791" w:rsidTr="000F1791">
        <w:trPr>
          <w:trHeight w:val="780"/>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Финансиране на разходи за управление на отпадъците</w:t>
            </w:r>
            <w:r w:rsidR="0026320E">
              <w:rPr>
                <w:rFonts w:ascii="Calibri" w:eastAsia="Times New Roman" w:hAnsi="Calibri" w:cs="Calibri"/>
                <w:color w:val="000000"/>
                <w:sz w:val="20"/>
                <w:szCs w:val="20"/>
                <w:lang w:eastAsia="bg-BG"/>
              </w:rPr>
              <w:t xml:space="preserve"> (без разходи за чистота)</w:t>
            </w:r>
            <w:r w:rsidRPr="000F1791">
              <w:rPr>
                <w:rFonts w:ascii="Calibri" w:eastAsia="Times New Roman" w:hAnsi="Calibri" w:cs="Calibri"/>
                <w:color w:val="000000"/>
                <w:sz w:val="20"/>
                <w:szCs w:val="20"/>
                <w:lang w:eastAsia="bg-BG"/>
              </w:rPr>
              <w:t xml:space="preserve">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158 283 458</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162 924 481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165 772 252</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178 695 063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181 535 814</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190 908 931</w:t>
            </w:r>
          </w:p>
        </w:tc>
      </w:tr>
      <w:tr w:rsidR="000F1791" w:rsidRPr="000F1791" w:rsidTr="000F1791">
        <w:trPr>
          <w:trHeight w:val="300"/>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Население (бр.)</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7 265 115</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7 223 937</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7 177 991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7 127 822</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7 075 947</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7 025 037</w:t>
            </w:r>
          </w:p>
        </w:tc>
      </w:tr>
      <w:tr w:rsidR="000F1791" w:rsidRPr="000F1791" w:rsidTr="000F1791">
        <w:trPr>
          <w:trHeight w:val="780"/>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Финансиране на управлението на отпадъците/1 жител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21,8</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22,6</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23,1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25,1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25,7</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27,2</w:t>
            </w:r>
          </w:p>
        </w:tc>
      </w:tr>
      <w:tr w:rsidR="000F1791" w:rsidRPr="000F1791" w:rsidTr="000F1791">
        <w:trPr>
          <w:trHeight w:val="780"/>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Годишен доход на 1  домакинство - средно за България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11 420</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11 666</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11 883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12 112</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12 836</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13 450</w:t>
            </w:r>
          </w:p>
        </w:tc>
      </w:tr>
      <w:tr w:rsidR="000F1791" w:rsidRPr="000F1791" w:rsidTr="000F1791">
        <w:trPr>
          <w:trHeight w:val="780"/>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lastRenderedPageBreak/>
              <w:t>Годишен доход на 1 лице от домакинство - средно за България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4 814</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4 813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4 953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5 167</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5 586</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6013</w:t>
            </w:r>
          </w:p>
        </w:tc>
      </w:tr>
      <w:tr w:rsidR="000F1791" w:rsidRPr="000F1791" w:rsidTr="000F1791">
        <w:trPr>
          <w:trHeight w:val="525"/>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Средна големина на 1 домакинство (бр.лица)</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2,37</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2,42</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2,40</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2,34</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2,30</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2,24</w:t>
            </w:r>
          </w:p>
        </w:tc>
      </w:tr>
      <w:tr w:rsidR="000F1791" w:rsidRPr="000F1791" w:rsidTr="000F1791">
        <w:trPr>
          <w:trHeight w:val="780"/>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Годишен доход на 1  домакинство от 1-3 децилна група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6 019</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6 148</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6 263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6 383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6 765</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7 088</w:t>
            </w:r>
          </w:p>
        </w:tc>
      </w:tr>
      <w:tr w:rsidR="000F1791" w:rsidRPr="000F1791" w:rsidTr="000F1791">
        <w:trPr>
          <w:trHeight w:val="780"/>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Годишен доход на 1 лице от домакинство 1-3 децилна група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2 537</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2 537</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2 610</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2 723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2 944</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3 169</w:t>
            </w:r>
          </w:p>
        </w:tc>
      </w:tr>
      <w:tr w:rsidR="000F1791" w:rsidRPr="000F1791" w:rsidTr="000F1791">
        <w:trPr>
          <w:trHeight w:val="1035"/>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Праг на поносимост на населението за разходи за управление на отпадъците (лв.) - 1,5% от дохода</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38,1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38,0</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39,2</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40,8</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44,2</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47,5</w:t>
            </w:r>
          </w:p>
        </w:tc>
      </w:tr>
      <w:tr w:rsidR="000F1791" w:rsidRPr="000F1791" w:rsidTr="000F1791">
        <w:trPr>
          <w:trHeight w:val="525"/>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Разлика до тавана на поносимост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16,3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15,5</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16,1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15,8</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18,5</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20,4</w:t>
            </w:r>
          </w:p>
        </w:tc>
      </w:tr>
      <w:tr w:rsidR="000F1791" w:rsidRPr="000F1791" w:rsidTr="000F1791">
        <w:trPr>
          <w:trHeight w:val="1035"/>
          <w:jc w:val="center"/>
        </w:trPr>
        <w:tc>
          <w:tcPr>
            <w:tcW w:w="1279" w:type="pct"/>
            <w:tcBorders>
              <w:top w:val="nil"/>
              <w:left w:val="single" w:sz="4" w:space="0" w:color="auto"/>
              <w:bottom w:val="single" w:sz="4" w:space="0" w:color="auto"/>
              <w:right w:val="single" w:sz="4" w:space="0" w:color="auto"/>
            </w:tcBorders>
            <w:shd w:val="clear" w:color="auto" w:fill="auto"/>
            <w:vAlign w:val="bottom"/>
            <w:hideMark/>
          </w:tcPr>
          <w:p w:rsidR="000F1791" w:rsidRPr="000F1791" w:rsidRDefault="000F1791" w:rsidP="000F1791">
            <w:pPr>
              <w:spacing w:after="0"/>
              <w:jc w:val="lef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Средства, които населението може да осигури до достигане на тавана на поносимост (лв.)</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118 197 791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111 932 591</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115 280 823</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112 451 978</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130 930 048</w:t>
            </w:r>
          </w:p>
        </w:tc>
        <w:tc>
          <w:tcPr>
            <w:tcW w:w="620" w:type="pct"/>
            <w:tcBorders>
              <w:top w:val="nil"/>
              <w:left w:val="nil"/>
              <w:bottom w:val="single" w:sz="4" w:space="0" w:color="auto"/>
              <w:right w:val="single" w:sz="4" w:space="0" w:color="auto"/>
            </w:tcBorders>
            <w:shd w:val="clear" w:color="auto" w:fill="auto"/>
            <w:noWrap/>
            <w:vAlign w:val="bottom"/>
            <w:hideMark/>
          </w:tcPr>
          <w:p w:rsidR="000F1791" w:rsidRPr="000F1791" w:rsidRDefault="000F1791" w:rsidP="000F1791">
            <w:pPr>
              <w:spacing w:after="0"/>
              <w:jc w:val="right"/>
              <w:rPr>
                <w:rFonts w:ascii="Calibri" w:eastAsia="Times New Roman" w:hAnsi="Calibri" w:cs="Calibri"/>
                <w:color w:val="000000"/>
                <w:sz w:val="20"/>
                <w:szCs w:val="20"/>
                <w:lang w:eastAsia="bg-BG"/>
              </w:rPr>
            </w:pPr>
            <w:r w:rsidRPr="000F1791">
              <w:rPr>
                <w:rFonts w:ascii="Calibri" w:eastAsia="Times New Roman" w:hAnsi="Calibri" w:cs="Calibri"/>
                <w:color w:val="000000"/>
                <w:sz w:val="20"/>
                <w:szCs w:val="20"/>
                <w:lang w:eastAsia="bg-BG"/>
              </w:rPr>
              <w:t>143 022 188</w:t>
            </w:r>
          </w:p>
        </w:tc>
      </w:tr>
    </w:tbl>
    <w:p w:rsidR="00E97EDC" w:rsidRDefault="00E97EDC" w:rsidP="0006204E">
      <w:pPr>
        <w:rPr>
          <w:rFonts w:cstheme="minorHAnsi"/>
          <w:sz w:val="22"/>
        </w:rPr>
      </w:pPr>
    </w:p>
    <w:p w:rsidR="00E97EDC" w:rsidRDefault="0026320E" w:rsidP="0006204E">
      <w:r>
        <w:t>Изчисленията от таблицата показват, че понастоящем средствата от такса</w:t>
      </w:r>
      <w:r w:rsidR="00FC650D">
        <w:t xml:space="preserve"> за </w:t>
      </w:r>
      <w:r>
        <w:t>битови отпадъци, който населението плаща за управлението на отпадъци, са по-ниски от тавана на поносимост. Разликата между понастоящем заплащаните средства на 1 жител и тавана на поносимост са 20,40 лв./1 жител. Средствата, които биха се събрали от населението ако се вдигнат таксите до тавана на поносимост, са около 143 млн. лв./год, което е много по-ниско от средствата, които са разчетени като разходи за инфраструктура за управление на отпадъците. Всичко това показва, че са необходими допълнителни източници на средства, извън общинските бюджети.</w:t>
      </w:r>
    </w:p>
    <w:p w:rsidR="003A3A79" w:rsidRPr="003A3A79" w:rsidRDefault="003A3A79" w:rsidP="0006204E"/>
    <w:p w:rsidR="006C7F71" w:rsidRDefault="006C7F71" w:rsidP="0006204E">
      <w:pPr>
        <w:rPr>
          <w:lang w:val="en-US"/>
        </w:rPr>
      </w:pPr>
    </w:p>
    <w:p w:rsidR="006C7F71" w:rsidRDefault="006C7F71" w:rsidP="0006204E">
      <w:pPr>
        <w:rPr>
          <w:lang w:val="en-US"/>
        </w:rPr>
      </w:pPr>
    </w:p>
    <w:p w:rsidR="006C7F71" w:rsidRPr="006C7F71" w:rsidRDefault="006C7F71" w:rsidP="0006204E">
      <w:pPr>
        <w:rPr>
          <w:lang w:val="en-US"/>
        </w:rPr>
        <w:sectPr w:rsidR="006C7F71" w:rsidRPr="006C7F71" w:rsidSect="00A143D5">
          <w:pgSz w:w="11906" w:h="16838" w:code="9"/>
          <w:pgMar w:top="1417" w:right="1417" w:bottom="1417" w:left="1417" w:header="708" w:footer="0" w:gutter="0"/>
          <w:cols w:space="708"/>
          <w:docGrid w:linePitch="360"/>
        </w:sectPr>
      </w:pPr>
    </w:p>
    <w:p w:rsidR="00513DD4" w:rsidRPr="00513DD4" w:rsidRDefault="00513DD4" w:rsidP="00C808F3">
      <w:pPr>
        <w:rPr>
          <w:b/>
        </w:rPr>
      </w:pPr>
      <w:r w:rsidRPr="00513DD4">
        <w:rPr>
          <w:b/>
        </w:rPr>
        <w:lastRenderedPageBreak/>
        <w:t>Основни изводи и препоръки</w:t>
      </w:r>
    </w:p>
    <w:p w:rsidR="004F3F19" w:rsidRDefault="004F3F19" w:rsidP="00C808F3">
      <w:pPr>
        <w:rPr>
          <w:rFonts w:ascii="Calibri" w:hAnsi="Calibri"/>
          <w:szCs w:val="24"/>
        </w:rPr>
      </w:pPr>
      <w:r>
        <w:t>Промяната в методологията на статистическо отчитане на разходите за околна среда и в т.ч. разходите за управление на отпадъците в резултат от приемането на  Р</w:t>
      </w:r>
      <w:r w:rsidRPr="00512127">
        <w:t>егламент за изменение (</w:t>
      </w:r>
      <w:hyperlink r:id="rId15" w:history="1">
        <w:r w:rsidRPr="00512127">
          <w:t>Регламент (ЕС) № 538/2014</w:t>
        </w:r>
      </w:hyperlink>
      <w:r w:rsidRPr="00512127">
        <w:t xml:space="preserve">) </w:t>
      </w:r>
      <w:r>
        <w:t xml:space="preserve">на Регламент 691/2011 </w:t>
      </w:r>
      <w:r w:rsidRPr="00512127">
        <w:t>Иконом</w:t>
      </w:r>
      <w:r>
        <w:t>ически сметки за околната среда, изисква различен подход при информационното обезпечаване, анализа и оценката на разходите за данните.  Това налага разделянето на анализирания период на два под-периода съответно 2008-2013 г. и 2014-2018 г. и прави невъзможна директната съпоставка на данните от двата под-периода.</w:t>
      </w:r>
    </w:p>
    <w:p w:rsidR="00C808F3" w:rsidRPr="00C808F3" w:rsidRDefault="004F3F19" w:rsidP="00C808F3">
      <w:pPr>
        <w:rPr>
          <w:rFonts w:ascii="Calibri" w:hAnsi="Calibri"/>
          <w:szCs w:val="24"/>
        </w:rPr>
      </w:pPr>
      <w:r>
        <w:rPr>
          <w:rFonts w:ascii="Calibri" w:hAnsi="Calibri"/>
          <w:szCs w:val="24"/>
        </w:rPr>
        <w:t xml:space="preserve">Независимо от тези </w:t>
      </w:r>
      <w:r w:rsidR="00947EB0">
        <w:rPr>
          <w:rFonts w:ascii="Calibri" w:hAnsi="Calibri"/>
          <w:szCs w:val="24"/>
        </w:rPr>
        <w:t>особености и ограничения в информационното осигуряване, в</w:t>
      </w:r>
      <w:r w:rsidR="00C808F3" w:rsidRPr="00C808F3">
        <w:rPr>
          <w:rFonts w:ascii="Calibri" w:hAnsi="Calibri"/>
          <w:szCs w:val="24"/>
        </w:rPr>
        <w:t xml:space="preserve">ъз основа на анализа могат да се направят следните по-важни </w:t>
      </w:r>
      <w:r w:rsidR="00C808F3" w:rsidRPr="00513DD4">
        <w:rPr>
          <w:rFonts w:ascii="Calibri" w:hAnsi="Calibri"/>
          <w:szCs w:val="24"/>
        </w:rPr>
        <w:t>изводи</w:t>
      </w:r>
      <w:r w:rsidR="006361AB" w:rsidRPr="00513DD4">
        <w:rPr>
          <w:rFonts w:ascii="Calibri" w:hAnsi="Calibri"/>
          <w:szCs w:val="24"/>
        </w:rPr>
        <w:t xml:space="preserve"> и препоръки</w:t>
      </w:r>
      <w:r w:rsidR="00C808F3" w:rsidRPr="00513DD4">
        <w:rPr>
          <w:rFonts w:ascii="Calibri" w:hAnsi="Calibri"/>
          <w:szCs w:val="24"/>
        </w:rPr>
        <w:t>:</w:t>
      </w:r>
    </w:p>
    <w:p w:rsidR="00D83A76" w:rsidRPr="00D83A76" w:rsidRDefault="00D83A76" w:rsidP="00D83A76">
      <w:pPr>
        <w:pStyle w:val="ListParagraph"/>
        <w:numPr>
          <w:ilvl w:val="0"/>
          <w:numId w:val="12"/>
        </w:numPr>
        <w:ind w:left="714" w:hanging="357"/>
        <w:contextualSpacing w:val="0"/>
        <w:rPr>
          <w:lang w:val="bg-BG"/>
        </w:rPr>
      </w:pPr>
      <w:r>
        <w:rPr>
          <w:lang w:val="bg-BG"/>
        </w:rPr>
        <w:t>Р</w:t>
      </w:r>
      <w:r w:rsidRPr="004D2D81">
        <w:t xml:space="preserve">азходите за управление на отпадъците имат най-висок дял в общите разходи за опазване на околната среда в България като този дял непрекъснато нараства </w:t>
      </w:r>
      <w:r>
        <w:t xml:space="preserve">и </w:t>
      </w:r>
      <w:r w:rsidRPr="00D83A76">
        <w:rPr>
          <w:lang w:val="bg-BG"/>
        </w:rPr>
        <w:t>изпреварват всички останали сектори на околната среда.</w:t>
      </w:r>
    </w:p>
    <w:p w:rsidR="00D83A76" w:rsidRPr="00D83A76" w:rsidRDefault="00D83A76" w:rsidP="00D83A76">
      <w:pPr>
        <w:pStyle w:val="ListParagraph"/>
        <w:numPr>
          <w:ilvl w:val="0"/>
          <w:numId w:val="12"/>
        </w:numPr>
        <w:ind w:left="714" w:hanging="357"/>
        <w:contextualSpacing w:val="0"/>
        <w:rPr>
          <w:lang w:val="bg-BG"/>
        </w:rPr>
      </w:pPr>
      <w:r w:rsidRPr="00D83A76">
        <w:rPr>
          <w:lang w:val="bg-BG"/>
        </w:rPr>
        <w:t>Основните сектори, в които се извършват разходи по управлението на отпадъците са индустрията и публичния сектор (за управление на битовите отпадъци от общините).</w:t>
      </w:r>
    </w:p>
    <w:p w:rsidR="00D83A76" w:rsidRPr="00D83A76" w:rsidRDefault="00D83A76" w:rsidP="00D83A76">
      <w:pPr>
        <w:pStyle w:val="ListParagraph"/>
        <w:numPr>
          <w:ilvl w:val="0"/>
          <w:numId w:val="12"/>
        </w:numPr>
        <w:ind w:left="714" w:hanging="357"/>
        <w:contextualSpacing w:val="0"/>
        <w:rPr>
          <w:lang w:val="bg-BG"/>
        </w:rPr>
      </w:pPr>
      <w:r>
        <w:rPr>
          <w:lang w:val="bg-BG"/>
        </w:rPr>
        <w:t>Главните</w:t>
      </w:r>
      <w:r w:rsidRPr="00D83A76">
        <w:rPr>
          <w:lang w:val="bg-BG"/>
        </w:rPr>
        <w:t xml:space="preserve"> източници за финансиране на оперативните разходи за управление на </w:t>
      </w:r>
      <w:r>
        <w:rPr>
          <w:lang w:val="bg-BG"/>
        </w:rPr>
        <w:t xml:space="preserve">битовите </w:t>
      </w:r>
      <w:r w:rsidRPr="00D83A76">
        <w:rPr>
          <w:lang w:val="bg-BG"/>
        </w:rPr>
        <w:t>отпадъциса собствените средства на организациите за оползотворяване на отпадъците и постъпления от такса</w:t>
      </w:r>
      <w:r w:rsidR="00FC650D">
        <w:rPr>
          <w:lang w:val="bg-BG"/>
        </w:rPr>
        <w:t xml:space="preserve"> за</w:t>
      </w:r>
      <w:r w:rsidRPr="00D83A76">
        <w:rPr>
          <w:lang w:val="bg-BG"/>
        </w:rPr>
        <w:t xml:space="preserve"> битови отпадъци, реализирани от общините.</w:t>
      </w:r>
    </w:p>
    <w:p w:rsidR="00D83A76" w:rsidRPr="00D83A76" w:rsidRDefault="00D83A76" w:rsidP="00D83A76">
      <w:pPr>
        <w:pStyle w:val="ListParagraph"/>
        <w:numPr>
          <w:ilvl w:val="0"/>
          <w:numId w:val="12"/>
        </w:numPr>
        <w:ind w:left="714" w:hanging="357"/>
        <w:contextualSpacing w:val="0"/>
        <w:rPr>
          <w:lang w:val="bg-BG"/>
        </w:rPr>
      </w:pPr>
      <w:r>
        <w:rPr>
          <w:lang w:val="bg-BG"/>
        </w:rPr>
        <w:t>Водещият</w:t>
      </w:r>
      <w:r w:rsidRPr="00D83A76">
        <w:rPr>
          <w:lang w:val="bg-BG"/>
        </w:rPr>
        <w:t xml:space="preserve"> източник за финансиране на инвестиционните разходи за управление на </w:t>
      </w:r>
      <w:r>
        <w:rPr>
          <w:lang w:val="bg-BG"/>
        </w:rPr>
        <w:t>МРО</w:t>
      </w:r>
      <w:r w:rsidRPr="00D83A76">
        <w:rPr>
          <w:lang w:val="bg-BG"/>
        </w:rPr>
        <w:t xml:space="preserve"> са собствените средства на организациите по оползотворяване. Останалите средства </w:t>
      </w:r>
      <w:r>
        <w:rPr>
          <w:lang w:val="bg-BG"/>
        </w:rPr>
        <w:t xml:space="preserve">за третиране на битовите отпадъци </w:t>
      </w:r>
      <w:r w:rsidRPr="00D83A76">
        <w:rPr>
          <w:lang w:val="bg-BG"/>
        </w:rPr>
        <w:t xml:space="preserve">се осигуряват от целеви средства по линия на </w:t>
      </w:r>
      <w:r w:rsidR="00391C8E">
        <w:rPr>
          <w:lang w:val="bg-BG"/>
        </w:rPr>
        <w:t>държавния</w:t>
      </w:r>
      <w:r w:rsidR="00391C8E" w:rsidRPr="00D83A76">
        <w:rPr>
          <w:lang w:val="bg-BG"/>
        </w:rPr>
        <w:t xml:space="preserve"> </w:t>
      </w:r>
      <w:r w:rsidRPr="00D83A76">
        <w:rPr>
          <w:lang w:val="bg-BG"/>
        </w:rPr>
        <w:t>бюджет, собствени средства на общините и  безвъзмездно финансиране (по линия на ОПОС</w:t>
      </w:r>
      <w:r>
        <w:rPr>
          <w:lang w:val="bg-BG"/>
        </w:rPr>
        <w:t xml:space="preserve"> и ПУДООС, в т.ч. от ДБ</w:t>
      </w:r>
      <w:r w:rsidRPr="00D83A76">
        <w:rPr>
          <w:lang w:val="bg-BG"/>
        </w:rPr>
        <w:t xml:space="preserve">). </w:t>
      </w:r>
    </w:p>
    <w:p w:rsidR="00D83A76" w:rsidRPr="00D83A76" w:rsidRDefault="00D83A76" w:rsidP="00D83A76">
      <w:pPr>
        <w:pStyle w:val="ListParagraph"/>
        <w:numPr>
          <w:ilvl w:val="0"/>
          <w:numId w:val="12"/>
        </w:numPr>
        <w:ind w:left="714" w:hanging="357"/>
        <w:contextualSpacing w:val="0"/>
        <w:rPr>
          <w:lang w:val="bg-BG"/>
        </w:rPr>
      </w:pPr>
      <w:r w:rsidRPr="005F6C55">
        <w:rPr>
          <w:lang w:val="bg-BG"/>
        </w:rPr>
        <w:t>ОПОС</w:t>
      </w:r>
      <w:r w:rsidRPr="0049057D">
        <w:rPr>
          <w:lang w:val="bg-BG"/>
        </w:rPr>
        <w:t xml:space="preserve"> е водещи</w:t>
      </w:r>
      <w:r w:rsidRPr="00D83A76">
        <w:rPr>
          <w:lang w:val="bg-BG"/>
        </w:rPr>
        <w:t xml:space="preserve">ят източник за финансиране на публична инфраструктура в управлението на </w:t>
      </w:r>
      <w:r>
        <w:rPr>
          <w:lang w:val="bg-BG"/>
        </w:rPr>
        <w:t xml:space="preserve">битовите </w:t>
      </w:r>
      <w:r w:rsidRPr="00D83A76">
        <w:rPr>
          <w:lang w:val="bg-BG"/>
        </w:rPr>
        <w:t>отпадъци. През програмен период 2007-2013 г. по програмата са финансирани инвестиционни проекти в 20 РСУО</w:t>
      </w:r>
      <w:r w:rsidRPr="005F6C55">
        <w:rPr>
          <w:lang w:val="bg-BG"/>
        </w:rPr>
        <w:t xml:space="preserve"> в т.ч.</w:t>
      </w:r>
      <w:r w:rsidRPr="0049057D">
        <w:rPr>
          <w:lang w:val="bg-BG"/>
        </w:rPr>
        <w:t>:</w:t>
      </w:r>
      <w:r w:rsidRPr="00D83A76">
        <w:rPr>
          <w:lang w:val="bg-BG"/>
        </w:rPr>
        <w:t xml:space="preserve"> клетки на депа за битови отпадъци с общ капацитет 6</w:t>
      </w:r>
      <w:r w:rsidRPr="005F6C55">
        <w:rPr>
          <w:lang w:val="bg-BG"/>
        </w:rPr>
        <w:t xml:space="preserve"> </w:t>
      </w:r>
      <w:r w:rsidRPr="00D83A76">
        <w:rPr>
          <w:lang w:val="bg-BG"/>
        </w:rPr>
        <w:t>408</w:t>
      </w:r>
      <w:r w:rsidRPr="005F6C55">
        <w:rPr>
          <w:lang w:val="bg-BG"/>
        </w:rPr>
        <w:t xml:space="preserve"> </w:t>
      </w:r>
      <w:r w:rsidRPr="00D83A76">
        <w:rPr>
          <w:lang w:val="bg-BG"/>
        </w:rPr>
        <w:t>887 тона</w:t>
      </w:r>
      <w:r w:rsidRPr="005F6C55">
        <w:rPr>
          <w:lang w:val="bg-BG"/>
        </w:rPr>
        <w:t xml:space="preserve">; </w:t>
      </w:r>
      <w:r w:rsidRPr="00D83A76">
        <w:rPr>
          <w:lang w:val="bg-BG"/>
        </w:rPr>
        <w:t>инсталации за предварително третиране на смесени битови отпадъци с общ капацитет 387</w:t>
      </w:r>
      <w:r w:rsidRPr="005F6C55">
        <w:rPr>
          <w:lang w:val="bg-BG"/>
        </w:rPr>
        <w:t xml:space="preserve"> </w:t>
      </w:r>
      <w:r w:rsidRPr="00D83A76">
        <w:rPr>
          <w:lang w:val="bg-BG"/>
        </w:rPr>
        <w:t>065 тона/год</w:t>
      </w:r>
      <w:r w:rsidRPr="005F6C55">
        <w:rPr>
          <w:lang w:val="bg-BG"/>
        </w:rPr>
        <w:t xml:space="preserve">; </w:t>
      </w:r>
      <w:r w:rsidRPr="0049057D">
        <w:rPr>
          <w:lang w:val="bg-BG"/>
        </w:rPr>
        <w:t xml:space="preserve">инсталации за компостиране на </w:t>
      </w:r>
      <w:r w:rsidRPr="00D83A76">
        <w:rPr>
          <w:lang w:val="bg-BG"/>
        </w:rPr>
        <w:t>зелени отпадъци с общ капацитет 200 667 тона/год; инсталации за анаеробно разграждане с общ капацитет 20 000 тона/год и др. През програмен период 2014-2020 г. са финансирани инвестиционни проекти в 24 РСУО</w:t>
      </w:r>
      <w:r w:rsidRPr="005F6C55">
        <w:rPr>
          <w:lang w:val="bg-BG"/>
        </w:rPr>
        <w:t xml:space="preserve"> в т.ч.</w:t>
      </w:r>
      <w:r w:rsidRPr="0049057D">
        <w:rPr>
          <w:lang w:val="bg-BG"/>
        </w:rPr>
        <w:t>:</w:t>
      </w:r>
      <w:r w:rsidRPr="00D83A76">
        <w:rPr>
          <w:lang w:val="bg-BG"/>
        </w:rPr>
        <w:t xml:space="preserve"> за изграждане на инсталации за предварително третиране на отпадъци;  </w:t>
      </w:r>
      <w:r w:rsidRPr="005F6C55">
        <w:rPr>
          <w:lang w:val="bg-BG"/>
        </w:rPr>
        <w:t xml:space="preserve">инсталации за </w:t>
      </w:r>
      <w:r w:rsidRPr="00D83A76">
        <w:rPr>
          <w:lang w:val="bg-BG"/>
        </w:rPr>
        <w:t xml:space="preserve">компостиране на зелени отпадъци </w:t>
      </w:r>
      <w:r>
        <w:rPr>
          <w:lang w:val="bg-BG"/>
        </w:rPr>
        <w:t>и</w:t>
      </w:r>
      <w:r w:rsidRPr="005F6C55">
        <w:rPr>
          <w:lang w:val="bg-BG"/>
        </w:rPr>
        <w:t xml:space="preserve"> </w:t>
      </w:r>
      <w:r w:rsidRPr="00D83A76">
        <w:rPr>
          <w:lang w:val="bg-BG"/>
        </w:rPr>
        <w:t>инсталации за анаеробно разграждане.</w:t>
      </w:r>
    </w:p>
    <w:p w:rsidR="00D83A76" w:rsidRDefault="00D83A76" w:rsidP="005F6C55">
      <w:pPr>
        <w:spacing w:before="120"/>
        <w:rPr>
          <w:b/>
          <w:sz w:val="32"/>
          <w:szCs w:val="32"/>
          <w:lang w:val="en-US"/>
        </w:rPr>
      </w:pPr>
    </w:p>
    <w:sectPr w:rsidR="00D83A76" w:rsidSect="001C0F3B">
      <w:pgSz w:w="11906" w:h="16838" w:code="9"/>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E7F" w:rsidRDefault="00F61E7F" w:rsidP="00B56112">
      <w:pPr>
        <w:spacing w:after="0"/>
      </w:pPr>
      <w:r>
        <w:separator/>
      </w:r>
    </w:p>
  </w:endnote>
  <w:endnote w:type="continuationSeparator" w:id="0">
    <w:p w:rsidR="00F61E7F" w:rsidRDefault="00F61E7F"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E7F" w:rsidRPr="00344590" w:rsidRDefault="00F61E7F" w:rsidP="00344590">
    <w:pPr>
      <w:widowControl w:val="0"/>
      <w:pBdr>
        <w:top w:val="single" w:sz="4" w:space="1" w:color="auto"/>
      </w:pBdr>
      <w:autoSpaceDE w:val="0"/>
      <w:autoSpaceDN w:val="0"/>
      <w:adjustRightInd w:val="0"/>
      <w:ind w:left="-17" w:right="-17"/>
      <w:jc w:val="center"/>
      <w:rPr>
        <w:sz w:val="20"/>
        <w:szCs w:val="20"/>
      </w:rPr>
    </w:pPr>
    <w:r w:rsidRPr="00344590">
      <w:rPr>
        <w:spacing w:val="-1"/>
        <w:sz w:val="20"/>
        <w:szCs w:val="20"/>
      </w:rPr>
      <w:t xml:space="preserve">Анализ на финансовите потоци </w:t>
    </w:r>
  </w:p>
  <w:p w:rsidR="00F61E7F" w:rsidRPr="00344590" w:rsidRDefault="00F61E7F">
    <w:pPr>
      <w:pStyle w:val="Footer"/>
      <w:jc w:val="center"/>
      <w:rPr>
        <w:sz w:val="20"/>
        <w:szCs w:val="20"/>
      </w:rPr>
    </w:pPr>
    <w:r w:rsidRPr="00344590">
      <w:rPr>
        <w:sz w:val="20"/>
        <w:szCs w:val="20"/>
      </w:rPr>
      <w:fldChar w:fldCharType="begin"/>
    </w:r>
    <w:r w:rsidRPr="00344590">
      <w:rPr>
        <w:sz w:val="20"/>
        <w:szCs w:val="20"/>
      </w:rPr>
      <w:instrText xml:space="preserve"> PAGE   \* MERGEFORMAT </w:instrText>
    </w:r>
    <w:r w:rsidRPr="00344590">
      <w:rPr>
        <w:sz w:val="20"/>
        <w:szCs w:val="20"/>
      </w:rPr>
      <w:fldChar w:fldCharType="separate"/>
    </w:r>
    <w:r w:rsidR="00F912D8">
      <w:rPr>
        <w:noProof/>
        <w:sz w:val="20"/>
        <w:szCs w:val="20"/>
      </w:rPr>
      <w:t>409</w:t>
    </w:r>
    <w:r w:rsidRPr="00344590">
      <w:rPr>
        <w:noProof/>
        <w:sz w:val="20"/>
        <w:szCs w:val="20"/>
      </w:rPr>
      <w:fldChar w:fldCharType="end"/>
    </w:r>
  </w:p>
  <w:p w:rsidR="00F61E7F" w:rsidRDefault="00F61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E7F" w:rsidRDefault="00F61E7F" w:rsidP="00B56112">
      <w:pPr>
        <w:spacing w:after="0"/>
      </w:pPr>
      <w:r>
        <w:separator/>
      </w:r>
    </w:p>
  </w:footnote>
  <w:footnote w:type="continuationSeparator" w:id="0">
    <w:p w:rsidR="00F61E7F" w:rsidRDefault="00F61E7F" w:rsidP="00B56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E7F" w:rsidRDefault="00F61E7F">
    <w:pPr>
      <w:pStyle w:val="Header"/>
    </w:pPr>
    <w:r>
      <w:rPr>
        <w:b/>
        <w:noProof/>
        <w:sz w:val="32"/>
        <w:szCs w:val="32"/>
        <w:lang w:val="en-US"/>
      </w:rPr>
      <w:drawing>
        <wp:inline distT="0" distB="0" distL="0" distR="0" wp14:anchorId="42303847" wp14:editId="4EEBCC7D">
          <wp:extent cx="5753100" cy="1181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E7F" w:rsidRDefault="00F61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2" w15:restartNumberingAfterBreak="0">
    <w:nsid w:val="25DB7335"/>
    <w:multiLevelType w:val="hybridMultilevel"/>
    <w:tmpl w:val="1696BD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B10352F"/>
    <w:multiLevelType w:val="hybridMultilevel"/>
    <w:tmpl w:val="12720C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B5C18DA"/>
    <w:multiLevelType w:val="hybridMultilevel"/>
    <w:tmpl w:val="3DA8D9D0"/>
    <w:lvl w:ilvl="0" w:tplc="FEFA81F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BD3F52"/>
    <w:multiLevelType w:val="multilevel"/>
    <w:tmpl w:val="306623FE"/>
    <w:lvl w:ilvl="0">
      <w:start w:val="1"/>
      <w:numFmt w:val="upperRoman"/>
      <w:pStyle w:val="1"/>
      <w:lvlText w:val="%1."/>
      <w:lvlJc w:val="right"/>
      <w:pPr>
        <w:ind w:left="709" w:hanging="425"/>
      </w:pPr>
      <w:rPr>
        <w:rFonts w:hint="default"/>
      </w:rPr>
    </w:lvl>
    <w:lvl w:ilvl="1">
      <w:start w:val="1"/>
      <w:numFmt w:val="decimal"/>
      <w:pStyle w:val="2"/>
      <w:lvlText w:val="%1.%2."/>
      <w:lvlJc w:val="left"/>
      <w:pPr>
        <w:ind w:left="851" w:hanging="567"/>
      </w:pPr>
      <w:rPr>
        <w:rFonts w:hint="default"/>
      </w:rPr>
    </w:lvl>
    <w:lvl w:ilvl="2">
      <w:start w:val="1"/>
      <w:numFmt w:val="decimal"/>
      <w:pStyle w:val="3"/>
      <w:lvlText w:val="%1.%2.%3."/>
      <w:lvlJc w:val="left"/>
      <w:pPr>
        <w:ind w:left="992" w:hanging="567"/>
      </w:pPr>
      <w:rPr>
        <w:rFonts w:hint="default"/>
      </w:rPr>
    </w:lvl>
    <w:lvl w:ilvl="3">
      <w:start w:val="1"/>
      <w:numFmt w:val="decimal"/>
      <w:pStyle w:val="4"/>
      <w:lvlText w:val="%1.%2.%3.%4."/>
      <w:lvlJc w:val="left"/>
      <w:pPr>
        <w:ind w:left="1134" w:hanging="567"/>
      </w:pPr>
      <w:rPr>
        <w:rFonts w:hint="default"/>
      </w:rPr>
    </w:lvl>
    <w:lvl w:ilvl="4">
      <w:start w:val="1"/>
      <w:numFmt w:val="lowerLetter"/>
      <w:lvlText w:val="%5."/>
      <w:lvlJc w:val="left"/>
      <w:pPr>
        <w:ind w:left="1276" w:hanging="992"/>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803037E"/>
    <w:multiLevelType w:val="hybridMultilevel"/>
    <w:tmpl w:val="555C037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8" w15:restartNumberingAfterBreak="0">
    <w:nsid w:val="4ED74BE1"/>
    <w:multiLevelType w:val="hybridMultilevel"/>
    <w:tmpl w:val="7C4268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0" w15:restartNumberingAfterBreak="0">
    <w:nsid w:val="5D850B65"/>
    <w:multiLevelType w:val="hybridMultilevel"/>
    <w:tmpl w:val="B9022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9D28D5"/>
    <w:multiLevelType w:val="hybridMultilevel"/>
    <w:tmpl w:val="9664004E"/>
    <w:lvl w:ilvl="0" w:tplc="A59E0D1E">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12"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E2D0F4D"/>
    <w:multiLevelType w:val="hybridMultilevel"/>
    <w:tmpl w:val="773EF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BA7E2C"/>
    <w:multiLevelType w:val="hybridMultilevel"/>
    <w:tmpl w:val="50986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5"/>
  </w:num>
  <w:num w:numId="4">
    <w:abstractNumId w:val="12"/>
  </w:num>
  <w:num w:numId="5">
    <w:abstractNumId w:val="1"/>
  </w:num>
  <w:num w:numId="6">
    <w:abstractNumId w:val="0"/>
  </w:num>
  <w:num w:numId="7">
    <w:abstractNumId w:val="5"/>
  </w:num>
  <w:num w:numId="8">
    <w:abstractNumId w:val="4"/>
  </w:num>
  <w:num w:numId="9">
    <w:abstractNumId w:val="13"/>
  </w:num>
  <w:num w:numId="10">
    <w:abstractNumId w:val="6"/>
  </w:num>
  <w:num w:numId="11">
    <w:abstractNumId w:val="14"/>
  </w:num>
  <w:num w:numId="12">
    <w:abstractNumId w:val="10"/>
  </w:num>
  <w:num w:numId="13">
    <w:abstractNumId w:val="5"/>
  </w:num>
  <w:num w:numId="14">
    <w:abstractNumId w:val="5"/>
  </w:num>
  <w:num w:numId="15">
    <w:abstractNumId w:val="5"/>
  </w:num>
  <w:num w:numId="16">
    <w:abstractNumId w:val="11"/>
  </w:num>
  <w:num w:numId="17">
    <w:abstractNumId w:val="2"/>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drawingGridHorizontalSpacing w:val="12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66"/>
    <w:rsid w:val="0000333C"/>
    <w:rsid w:val="000130D1"/>
    <w:rsid w:val="00014A0E"/>
    <w:rsid w:val="00033417"/>
    <w:rsid w:val="0006204E"/>
    <w:rsid w:val="000640F5"/>
    <w:rsid w:val="00065E3B"/>
    <w:rsid w:val="000727C5"/>
    <w:rsid w:val="00073E4D"/>
    <w:rsid w:val="000753E8"/>
    <w:rsid w:val="0007706B"/>
    <w:rsid w:val="000A626C"/>
    <w:rsid w:val="000A686D"/>
    <w:rsid w:val="000B14CB"/>
    <w:rsid w:val="000B290E"/>
    <w:rsid w:val="000C7541"/>
    <w:rsid w:val="000C7666"/>
    <w:rsid w:val="000E22BE"/>
    <w:rsid w:val="000F1791"/>
    <w:rsid w:val="000F2DE6"/>
    <w:rsid w:val="0010320D"/>
    <w:rsid w:val="00107D62"/>
    <w:rsid w:val="001111E2"/>
    <w:rsid w:val="00112B74"/>
    <w:rsid w:val="00113E9C"/>
    <w:rsid w:val="00116049"/>
    <w:rsid w:val="00116480"/>
    <w:rsid w:val="00130AAA"/>
    <w:rsid w:val="001409AC"/>
    <w:rsid w:val="00141CBC"/>
    <w:rsid w:val="00145DE5"/>
    <w:rsid w:val="00162BE5"/>
    <w:rsid w:val="0017122C"/>
    <w:rsid w:val="001827F4"/>
    <w:rsid w:val="00185F39"/>
    <w:rsid w:val="00190990"/>
    <w:rsid w:val="00191379"/>
    <w:rsid w:val="00191D11"/>
    <w:rsid w:val="001A2C07"/>
    <w:rsid w:val="001B311C"/>
    <w:rsid w:val="001C0F3B"/>
    <w:rsid w:val="001D0D29"/>
    <w:rsid w:val="001D2213"/>
    <w:rsid w:val="001D4F16"/>
    <w:rsid w:val="001D7268"/>
    <w:rsid w:val="00203239"/>
    <w:rsid w:val="0020459F"/>
    <w:rsid w:val="00213BD9"/>
    <w:rsid w:val="0021764B"/>
    <w:rsid w:val="00223445"/>
    <w:rsid w:val="00233740"/>
    <w:rsid w:val="00236F1E"/>
    <w:rsid w:val="0026320E"/>
    <w:rsid w:val="00267098"/>
    <w:rsid w:val="002675AC"/>
    <w:rsid w:val="00276778"/>
    <w:rsid w:val="00294AD4"/>
    <w:rsid w:val="002B3C2F"/>
    <w:rsid w:val="002B486B"/>
    <w:rsid w:val="002D2C6F"/>
    <w:rsid w:val="002D512C"/>
    <w:rsid w:val="002E141D"/>
    <w:rsid w:val="002F274F"/>
    <w:rsid w:val="00306AAF"/>
    <w:rsid w:val="003073FE"/>
    <w:rsid w:val="003108F2"/>
    <w:rsid w:val="00310D3C"/>
    <w:rsid w:val="0031293F"/>
    <w:rsid w:val="00312B35"/>
    <w:rsid w:val="00321562"/>
    <w:rsid w:val="003239A2"/>
    <w:rsid w:val="00335AD2"/>
    <w:rsid w:val="00342E6A"/>
    <w:rsid w:val="00344590"/>
    <w:rsid w:val="00385645"/>
    <w:rsid w:val="00386AE7"/>
    <w:rsid w:val="00391C8E"/>
    <w:rsid w:val="003A2DBC"/>
    <w:rsid w:val="003A3A79"/>
    <w:rsid w:val="003A5661"/>
    <w:rsid w:val="003B3946"/>
    <w:rsid w:val="003C097A"/>
    <w:rsid w:val="003C0C4D"/>
    <w:rsid w:val="003C2EB9"/>
    <w:rsid w:val="003E3E54"/>
    <w:rsid w:val="003F2932"/>
    <w:rsid w:val="003F41B1"/>
    <w:rsid w:val="00413B48"/>
    <w:rsid w:val="00430838"/>
    <w:rsid w:val="00437F54"/>
    <w:rsid w:val="004470A4"/>
    <w:rsid w:val="0044779A"/>
    <w:rsid w:val="004576FC"/>
    <w:rsid w:val="00466BA9"/>
    <w:rsid w:val="00475523"/>
    <w:rsid w:val="0049057D"/>
    <w:rsid w:val="004A450F"/>
    <w:rsid w:val="004D2D81"/>
    <w:rsid w:val="004E071D"/>
    <w:rsid w:val="004E43A4"/>
    <w:rsid w:val="004F005D"/>
    <w:rsid w:val="004F170A"/>
    <w:rsid w:val="004F3F19"/>
    <w:rsid w:val="00512127"/>
    <w:rsid w:val="00513DD4"/>
    <w:rsid w:val="0051435C"/>
    <w:rsid w:val="00523C30"/>
    <w:rsid w:val="005247F8"/>
    <w:rsid w:val="00532075"/>
    <w:rsid w:val="00556E78"/>
    <w:rsid w:val="00566F72"/>
    <w:rsid w:val="00571F91"/>
    <w:rsid w:val="00573001"/>
    <w:rsid w:val="00575B67"/>
    <w:rsid w:val="0058338E"/>
    <w:rsid w:val="00585370"/>
    <w:rsid w:val="00595644"/>
    <w:rsid w:val="005A42AC"/>
    <w:rsid w:val="005C3015"/>
    <w:rsid w:val="005D5362"/>
    <w:rsid w:val="005E6676"/>
    <w:rsid w:val="005F6C55"/>
    <w:rsid w:val="005F7654"/>
    <w:rsid w:val="005F77FF"/>
    <w:rsid w:val="005F7AE8"/>
    <w:rsid w:val="00607AD5"/>
    <w:rsid w:val="00622034"/>
    <w:rsid w:val="0063182D"/>
    <w:rsid w:val="0063265A"/>
    <w:rsid w:val="006326EE"/>
    <w:rsid w:val="00634609"/>
    <w:rsid w:val="006361AB"/>
    <w:rsid w:val="00642983"/>
    <w:rsid w:val="00642EDC"/>
    <w:rsid w:val="00643E17"/>
    <w:rsid w:val="0065211B"/>
    <w:rsid w:val="0065276C"/>
    <w:rsid w:val="0065410D"/>
    <w:rsid w:val="00666A88"/>
    <w:rsid w:val="006675DF"/>
    <w:rsid w:val="00667D97"/>
    <w:rsid w:val="00676C3B"/>
    <w:rsid w:val="00680D95"/>
    <w:rsid w:val="00681C9A"/>
    <w:rsid w:val="006840E0"/>
    <w:rsid w:val="006849C3"/>
    <w:rsid w:val="006929F5"/>
    <w:rsid w:val="006937B1"/>
    <w:rsid w:val="006B6614"/>
    <w:rsid w:val="006B68C9"/>
    <w:rsid w:val="006C328E"/>
    <w:rsid w:val="006C7F71"/>
    <w:rsid w:val="006E63AD"/>
    <w:rsid w:val="006E756F"/>
    <w:rsid w:val="006F2EAD"/>
    <w:rsid w:val="00700A00"/>
    <w:rsid w:val="00704606"/>
    <w:rsid w:val="00710C1B"/>
    <w:rsid w:val="00711833"/>
    <w:rsid w:val="00714C85"/>
    <w:rsid w:val="0071548C"/>
    <w:rsid w:val="00731670"/>
    <w:rsid w:val="00733847"/>
    <w:rsid w:val="00766AFD"/>
    <w:rsid w:val="00772480"/>
    <w:rsid w:val="007724CE"/>
    <w:rsid w:val="0078114C"/>
    <w:rsid w:val="00782E7A"/>
    <w:rsid w:val="00785F7E"/>
    <w:rsid w:val="00791E94"/>
    <w:rsid w:val="00794844"/>
    <w:rsid w:val="007971A2"/>
    <w:rsid w:val="00797AC6"/>
    <w:rsid w:val="007A58AF"/>
    <w:rsid w:val="007B5B9F"/>
    <w:rsid w:val="007B6637"/>
    <w:rsid w:val="007C65BC"/>
    <w:rsid w:val="007C75B2"/>
    <w:rsid w:val="007D232A"/>
    <w:rsid w:val="007D4AB2"/>
    <w:rsid w:val="007E175B"/>
    <w:rsid w:val="007F06C6"/>
    <w:rsid w:val="007F12E8"/>
    <w:rsid w:val="007F3C8F"/>
    <w:rsid w:val="0080427A"/>
    <w:rsid w:val="008054FA"/>
    <w:rsid w:val="008179D8"/>
    <w:rsid w:val="0082096A"/>
    <w:rsid w:val="0084174A"/>
    <w:rsid w:val="00852E05"/>
    <w:rsid w:val="00871959"/>
    <w:rsid w:val="008728D0"/>
    <w:rsid w:val="0087713E"/>
    <w:rsid w:val="00884C96"/>
    <w:rsid w:val="00897815"/>
    <w:rsid w:val="008A3561"/>
    <w:rsid w:val="008B4814"/>
    <w:rsid w:val="008B548D"/>
    <w:rsid w:val="008B68F9"/>
    <w:rsid w:val="008D1BF6"/>
    <w:rsid w:val="008D5542"/>
    <w:rsid w:val="008D6565"/>
    <w:rsid w:val="008E06A1"/>
    <w:rsid w:val="008E1600"/>
    <w:rsid w:val="008E2187"/>
    <w:rsid w:val="008E640E"/>
    <w:rsid w:val="008E73D8"/>
    <w:rsid w:val="008F0D60"/>
    <w:rsid w:val="008F4ACC"/>
    <w:rsid w:val="008F75D2"/>
    <w:rsid w:val="0090457E"/>
    <w:rsid w:val="00917459"/>
    <w:rsid w:val="0092367F"/>
    <w:rsid w:val="00926DE8"/>
    <w:rsid w:val="00927E70"/>
    <w:rsid w:val="00935E3C"/>
    <w:rsid w:val="00947EB0"/>
    <w:rsid w:val="0095442A"/>
    <w:rsid w:val="00962C60"/>
    <w:rsid w:val="0098477B"/>
    <w:rsid w:val="00991CF5"/>
    <w:rsid w:val="009A1781"/>
    <w:rsid w:val="009A4AB1"/>
    <w:rsid w:val="009B3DFE"/>
    <w:rsid w:val="009B40B6"/>
    <w:rsid w:val="009B48C8"/>
    <w:rsid w:val="009B693D"/>
    <w:rsid w:val="009C0D6F"/>
    <w:rsid w:val="009C2055"/>
    <w:rsid w:val="009C22DE"/>
    <w:rsid w:val="009C2D77"/>
    <w:rsid w:val="009E1C9A"/>
    <w:rsid w:val="009E56C5"/>
    <w:rsid w:val="009F4E75"/>
    <w:rsid w:val="009F6DAC"/>
    <w:rsid w:val="00A0219D"/>
    <w:rsid w:val="00A024D6"/>
    <w:rsid w:val="00A071B7"/>
    <w:rsid w:val="00A0784A"/>
    <w:rsid w:val="00A143D5"/>
    <w:rsid w:val="00A14801"/>
    <w:rsid w:val="00A30338"/>
    <w:rsid w:val="00A336F4"/>
    <w:rsid w:val="00A35AB5"/>
    <w:rsid w:val="00A464F0"/>
    <w:rsid w:val="00A501AA"/>
    <w:rsid w:val="00A60430"/>
    <w:rsid w:val="00A614D6"/>
    <w:rsid w:val="00A71E3B"/>
    <w:rsid w:val="00A8510C"/>
    <w:rsid w:val="00A85BB6"/>
    <w:rsid w:val="00A93273"/>
    <w:rsid w:val="00A9498D"/>
    <w:rsid w:val="00AA323F"/>
    <w:rsid w:val="00AA3DD8"/>
    <w:rsid w:val="00AB3EA9"/>
    <w:rsid w:val="00AC6705"/>
    <w:rsid w:val="00AE6E8B"/>
    <w:rsid w:val="00AF0AAB"/>
    <w:rsid w:val="00AF6624"/>
    <w:rsid w:val="00B02A02"/>
    <w:rsid w:val="00B11B7D"/>
    <w:rsid w:val="00B126D1"/>
    <w:rsid w:val="00B15D7C"/>
    <w:rsid w:val="00B53D45"/>
    <w:rsid w:val="00B56112"/>
    <w:rsid w:val="00B62FCB"/>
    <w:rsid w:val="00B63C0E"/>
    <w:rsid w:val="00B66871"/>
    <w:rsid w:val="00B72919"/>
    <w:rsid w:val="00B759D9"/>
    <w:rsid w:val="00B82A6E"/>
    <w:rsid w:val="00BA0A9B"/>
    <w:rsid w:val="00BA6C75"/>
    <w:rsid w:val="00BB7BFF"/>
    <w:rsid w:val="00BB7C9A"/>
    <w:rsid w:val="00BB7CF3"/>
    <w:rsid w:val="00BD44E4"/>
    <w:rsid w:val="00BE4587"/>
    <w:rsid w:val="00BF00EB"/>
    <w:rsid w:val="00BF7592"/>
    <w:rsid w:val="00C01012"/>
    <w:rsid w:val="00C20D53"/>
    <w:rsid w:val="00C23A3B"/>
    <w:rsid w:val="00C23EA8"/>
    <w:rsid w:val="00C2433C"/>
    <w:rsid w:val="00C27E59"/>
    <w:rsid w:val="00C4520D"/>
    <w:rsid w:val="00C54B63"/>
    <w:rsid w:val="00C671B1"/>
    <w:rsid w:val="00C808F3"/>
    <w:rsid w:val="00C823CB"/>
    <w:rsid w:val="00C84946"/>
    <w:rsid w:val="00C91CC9"/>
    <w:rsid w:val="00CA4E8C"/>
    <w:rsid w:val="00CA5753"/>
    <w:rsid w:val="00CB38E8"/>
    <w:rsid w:val="00CB6EB7"/>
    <w:rsid w:val="00CB7E57"/>
    <w:rsid w:val="00CC0B65"/>
    <w:rsid w:val="00CD5954"/>
    <w:rsid w:val="00CD7D50"/>
    <w:rsid w:val="00CE2564"/>
    <w:rsid w:val="00CE406D"/>
    <w:rsid w:val="00D071AF"/>
    <w:rsid w:val="00D13A09"/>
    <w:rsid w:val="00D405EB"/>
    <w:rsid w:val="00D415F7"/>
    <w:rsid w:val="00D41887"/>
    <w:rsid w:val="00D54326"/>
    <w:rsid w:val="00D725AE"/>
    <w:rsid w:val="00D774D5"/>
    <w:rsid w:val="00D7761B"/>
    <w:rsid w:val="00D83A76"/>
    <w:rsid w:val="00D978BB"/>
    <w:rsid w:val="00DA4717"/>
    <w:rsid w:val="00DA7B53"/>
    <w:rsid w:val="00DC5157"/>
    <w:rsid w:val="00DC5708"/>
    <w:rsid w:val="00DD2792"/>
    <w:rsid w:val="00DE32EF"/>
    <w:rsid w:val="00DF4183"/>
    <w:rsid w:val="00E1590E"/>
    <w:rsid w:val="00E21A0B"/>
    <w:rsid w:val="00E23F19"/>
    <w:rsid w:val="00E30F3F"/>
    <w:rsid w:val="00E35B45"/>
    <w:rsid w:val="00E3652F"/>
    <w:rsid w:val="00E43225"/>
    <w:rsid w:val="00E522C9"/>
    <w:rsid w:val="00E60134"/>
    <w:rsid w:val="00E65199"/>
    <w:rsid w:val="00E70293"/>
    <w:rsid w:val="00E82AC1"/>
    <w:rsid w:val="00E97EDC"/>
    <w:rsid w:val="00EA3862"/>
    <w:rsid w:val="00EB0097"/>
    <w:rsid w:val="00ED0F9B"/>
    <w:rsid w:val="00ED2962"/>
    <w:rsid w:val="00EE1A64"/>
    <w:rsid w:val="00EE3271"/>
    <w:rsid w:val="00EF1652"/>
    <w:rsid w:val="00EF1F52"/>
    <w:rsid w:val="00EF3930"/>
    <w:rsid w:val="00F3664E"/>
    <w:rsid w:val="00F4040B"/>
    <w:rsid w:val="00F42DD8"/>
    <w:rsid w:val="00F52F3F"/>
    <w:rsid w:val="00F53860"/>
    <w:rsid w:val="00F61E7F"/>
    <w:rsid w:val="00F64701"/>
    <w:rsid w:val="00F70A49"/>
    <w:rsid w:val="00F85B6C"/>
    <w:rsid w:val="00F912D8"/>
    <w:rsid w:val="00F95A64"/>
    <w:rsid w:val="00F961A4"/>
    <w:rsid w:val="00FA3EB3"/>
    <w:rsid w:val="00FA6A57"/>
    <w:rsid w:val="00FB1A52"/>
    <w:rsid w:val="00FB3043"/>
    <w:rsid w:val="00FB3B12"/>
    <w:rsid w:val="00FB7E4D"/>
    <w:rsid w:val="00FC1459"/>
    <w:rsid w:val="00FC650D"/>
    <w:rsid w:val="00FD0B09"/>
    <w:rsid w:val="00FD57DA"/>
    <w:rsid w:val="00FE618B"/>
    <w:rsid w:val="00FF0C2E"/>
    <w:rsid w:val="00FF2745"/>
    <w:rsid w:val="00FF30AD"/>
    <w:rsid w:val="00FF67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5:docId w15:val="{52EDFB16-B5A5-4D8B-9C82-9D6D3D4B5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EA9"/>
    <w:pPr>
      <w:spacing w:after="120"/>
      <w:jc w:val="both"/>
    </w:pPr>
    <w:rPr>
      <w:rFonts w:asciiTheme="minorHAnsi" w:hAnsiTheme="minorHAnsi"/>
      <w:sz w:val="24"/>
      <w:szCs w:val="22"/>
      <w:lang w:val="bg-BG"/>
    </w:rPr>
  </w:style>
  <w:style w:type="paragraph" w:styleId="Heading1">
    <w:name w:val="heading 1"/>
    <w:basedOn w:val="Normal"/>
    <w:link w:val="Heading1Char"/>
    <w:qFormat/>
    <w:rsid w:val="00B56112"/>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B56112"/>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qFormat/>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6112"/>
    <w:rPr>
      <w:rFonts w:ascii="Times New Roman" w:eastAsia="Times New Roman" w:hAnsi="Times New Roman"/>
      <w:b/>
      <w:bCs/>
      <w:kern w:val="36"/>
      <w:sz w:val="48"/>
      <w:szCs w:val="48"/>
    </w:rPr>
  </w:style>
  <w:style w:type="character" w:customStyle="1" w:styleId="Heading2Char">
    <w:name w:val="Heading 2 Char"/>
    <w:link w:val="Heading2"/>
    <w:rsid w:val="00B56112"/>
    <w:rPr>
      <w:rFonts w:ascii="Cambria" w:eastAsia="Times New Roman" w:hAnsi="Cambria"/>
      <w:b/>
      <w:bCs/>
      <w:i/>
      <w:iCs/>
      <w:sz w:val="28"/>
      <w:szCs w:val="28"/>
      <w:lang w:eastAsia="en-US"/>
    </w:rPr>
  </w:style>
  <w:style w:type="character" w:customStyle="1" w:styleId="Heading3Char">
    <w:name w:val="Heading 3 Char"/>
    <w:link w:val="Heading3"/>
    <w:rsid w:val="00B56112"/>
    <w:rPr>
      <w:rFonts w:ascii="Cambria" w:eastAsia="Times New Roman" w:hAnsi="Cambria"/>
      <w:b/>
      <w:bCs/>
      <w:sz w:val="26"/>
      <w:szCs w:val="26"/>
      <w:lang w:eastAsia="en-US"/>
    </w:rPr>
  </w:style>
  <w:style w:type="character" w:customStyle="1" w:styleId="Heading4Char">
    <w:name w:val="Heading 4 Char"/>
    <w:link w:val="Heading4"/>
    <w:rsid w:val="00B56112"/>
    <w:rPr>
      <w:rFonts w:eastAsia="Times New Roman"/>
      <w:b/>
      <w:bCs/>
      <w:sz w:val="28"/>
      <w:szCs w:val="28"/>
      <w:lang w:eastAsia="en-US"/>
    </w:rPr>
  </w:style>
  <w:style w:type="character" w:customStyle="1" w:styleId="Heading5Char">
    <w:name w:val="Heading 5 Char"/>
    <w:link w:val="Heading5"/>
    <w:rsid w:val="00B56112"/>
    <w:rPr>
      <w:rFonts w:eastAsia="Times New Roman"/>
      <w:b/>
      <w:bCs/>
      <w:i/>
      <w:iCs/>
      <w:sz w:val="26"/>
      <w:szCs w:val="26"/>
      <w:lang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rPr>
  </w:style>
  <w:style w:type="character" w:customStyle="1" w:styleId="BodyTextChar">
    <w:name w:val="Body Text Char"/>
    <w:link w:val="BodyText"/>
    <w:rsid w:val="00B56112"/>
    <w:rPr>
      <w:rFonts w:ascii="Times New Roman" w:hAnsi="Times New Roman"/>
      <w:bCs/>
      <w:snapToGrid w:val="0"/>
      <w:spacing w:val="-4"/>
      <w:sz w:val="24"/>
      <w:szCs w:val="24"/>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uiPriority w:val="99"/>
    <w:qFormat/>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uiPriority w:val="99"/>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uiPriority w:val="59"/>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uiPriority w:val="10"/>
    <w:qFormat/>
    <w:rsid w:val="00233740"/>
    <w:pPr>
      <w:spacing w:before="240" w:after="60"/>
      <w:jc w:val="center"/>
      <w:outlineLvl w:val="0"/>
    </w:pPr>
    <w:rPr>
      <w:rFonts w:eastAsia="Times New Roman"/>
      <w:b/>
      <w:bCs/>
      <w:color w:val="008080"/>
      <w:kern w:val="28"/>
      <w:sz w:val="40"/>
      <w:szCs w:val="32"/>
    </w:rPr>
  </w:style>
  <w:style w:type="character" w:customStyle="1" w:styleId="TitleChar">
    <w:name w:val="Title Char"/>
    <w:link w:val="Title"/>
    <w:uiPriority w:val="10"/>
    <w:rsid w:val="00233740"/>
    <w:rPr>
      <w:rFonts w:ascii="Times New Roman" w:eastAsia="Times New Roman" w:hAnsi="Times New Roman"/>
      <w:b/>
      <w:bCs/>
      <w:color w:val="008080"/>
      <w:kern w:val="28"/>
      <w:sz w:val="40"/>
      <w:szCs w:val="32"/>
    </w:rPr>
  </w:style>
  <w:style w:type="paragraph" w:styleId="Header">
    <w:name w:val="header"/>
    <w:basedOn w:val="Normal"/>
    <w:link w:val="HeaderChar"/>
    <w:uiPriority w:val="99"/>
    <w:unhideWhenUsed/>
    <w:rsid w:val="00B56112"/>
    <w:pPr>
      <w:tabs>
        <w:tab w:val="center" w:pos="4536"/>
        <w:tab w:val="right" w:pos="9072"/>
      </w:tabs>
    </w:pPr>
  </w:style>
  <w:style w:type="character" w:customStyle="1" w:styleId="HeaderChar">
    <w:name w:val="Header Char"/>
    <w:link w:val="Header"/>
    <w:uiPriority w:val="99"/>
    <w:rsid w:val="00B56112"/>
    <w:rPr>
      <w:sz w:val="22"/>
      <w:szCs w:val="22"/>
      <w:lang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style>
  <w:style w:type="character" w:customStyle="1" w:styleId="FooterChar">
    <w:name w:val="Footer Char"/>
    <w:aliases w:val="Footer Char Char Char Char,Footer1 Char,Footer Char1 Char Char,Footer Char1 Char1"/>
    <w:link w:val="Footer"/>
    <w:uiPriority w:val="99"/>
    <w:rsid w:val="00B56112"/>
    <w:rPr>
      <w:sz w:val="22"/>
      <w:szCs w:val="22"/>
      <w:lang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rPr>
  </w:style>
  <w:style w:type="character" w:customStyle="1" w:styleId="CommentTextChar">
    <w:name w:val="Comment Text Char"/>
    <w:link w:val="CommentText"/>
    <w:semiHidden/>
    <w:rsid w:val="00B56112"/>
    <w:rPr>
      <w:lang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eastAsia="en-US"/>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qFormat/>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rPr>
  </w:style>
  <w:style w:type="character" w:customStyle="1" w:styleId="PlainTextChar">
    <w:name w:val="Plain Text Char"/>
    <w:link w:val="PlainText"/>
    <w:rsid w:val="00B56112"/>
    <w:rPr>
      <w:rFonts w:ascii="Courier New" w:eastAsia="Times New Roman" w:hAnsi="Courier New"/>
      <w:lang w:eastAsia="en-US"/>
    </w:rPr>
  </w:style>
  <w:style w:type="paragraph" w:customStyle="1" w:styleId="reportromannumberlist">
    <w:name w:val="report_romannumber_list"/>
    <w:basedOn w:val="Normal"/>
    <w:rsid w:val="00B56112"/>
    <w:pPr>
      <w:numPr>
        <w:numId w:val="4"/>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3"/>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5"/>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iPriority w:val="99"/>
    <w:unhideWhenUsed/>
    <w:rsid w:val="00B56112"/>
    <w:pPr>
      <w:spacing w:line="480" w:lineRule="auto"/>
      <w:ind w:left="360"/>
    </w:pPr>
    <w:rPr>
      <w:szCs w:val="24"/>
      <w:lang w:val="en-GB"/>
    </w:rPr>
  </w:style>
  <w:style w:type="character" w:customStyle="1" w:styleId="BodyTextIndent2Char">
    <w:name w:val="Body Text Indent 2 Char"/>
    <w:link w:val="BodyTextIndent2"/>
    <w:uiPriority w:val="99"/>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6"/>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AB3EA9"/>
    <w:pPr>
      <w:keepLines/>
      <w:numPr>
        <w:numId w:val="7"/>
      </w:numPr>
      <w:spacing w:before="120" w:after="240"/>
    </w:pPr>
    <w:rPr>
      <w:rFonts w:asciiTheme="minorHAnsi" w:hAnsiTheme="minorHAnsi"/>
      <w:i w:val="0"/>
      <w:iCs w:val="0"/>
      <w:caps/>
      <w:color w:val="008080"/>
      <w:szCs w:val="26"/>
      <w:lang w:eastAsia="bg-BG"/>
    </w:rPr>
  </w:style>
  <w:style w:type="paragraph" w:customStyle="1" w:styleId="2">
    <w:name w:val="Заглавие 2"/>
    <w:basedOn w:val="Heading3"/>
    <w:link w:val="2Char"/>
    <w:qFormat/>
    <w:rsid w:val="00AB3EA9"/>
    <w:pPr>
      <w:keepLines/>
      <w:numPr>
        <w:ilvl w:val="1"/>
        <w:numId w:val="7"/>
      </w:numPr>
      <w:spacing w:before="120" w:after="120"/>
      <w:jc w:val="left"/>
    </w:pPr>
    <w:rPr>
      <w:rFonts w:asciiTheme="minorHAnsi" w:hAnsiTheme="minorHAnsi"/>
      <w:iCs/>
      <w:color w:val="008080"/>
      <w:sz w:val="28"/>
      <w:szCs w:val="28"/>
      <w:lang w:val="en-US"/>
    </w:rPr>
  </w:style>
  <w:style w:type="paragraph" w:customStyle="1" w:styleId="3">
    <w:name w:val="Заглавие 3"/>
    <w:link w:val="3Char"/>
    <w:qFormat/>
    <w:rsid w:val="00AB3EA9"/>
    <w:pPr>
      <w:numPr>
        <w:ilvl w:val="2"/>
        <w:numId w:val="7"/>
      </w:numPr>
      <w:spacing w:before="120" w:after="120"/>
    </w:pPr>
    <w:rPr>
      <w:rFonts w:asciiTheme="minorHAnsi" w:eastAsia="Times New Roman" w:hAnsiTheme="minorHAnsi"/>
      <w:b/>
      <w:bCs/>
      <w:iCs/>
      <w:color w:val="008080"/>
      <w:sz w:val="26"/>
      <w:szCs w:val="22"/>
      <w:lang w:val="bg-BG"/>
    </w:rPr>
  </w:style>
  <w:style w:type="character" w:customStyle="1" w:styleId="1Char">
    <w:name w:val="Заглавие 1 Char"/>
    <w:link w:val="1"/>
    <w:rsid w:val="00AB3EA9"/>
    <w:rPr>
      <w:rFonts w:asciiTheme="minorHAnsi" w:eastAsia="Times New Roman" w:hAnsiTheme="minorHAnsi"/>
      <w:b/>
      <w:bCs/>
      <w:caps/>
      <w:color w:val="008080"/>
      <w:sz w:val="28"/>
      <w:szCs w:val="26"/>
      <w:lang w:val="bg-BG" w:eastAsia="bg-BG"/>
    </w:rPr>
  </w:style>
  <w:style w:type="character" w:customStyle="1" w:styleId="3Char">
    <w:name w:val="Заглавие 3 Char"/>
    <w:link w:val="3"/>
    <w:rsid w:val="00AB3EA9"/>
    <w:rPr>
      <w:rFonts w:asciiTheme="minorHAnsi" w:eastAsia="Times New Roman" w:hAnsiTheme="minorHAnsi"/>
      <w:b/>
      <w:bCs/>
      <w:iCs/>
      <w:color w:val="008080"/>
      <w:sz w:val="26"/>
      <w:szCs w:val="22"/>
      <w:lang w:val="bg-BG"/>
    </w:rPr>
  </w:style>
  <w:style w:type="character" w:customStyle="1" w:styleId="2Char">
    <w:name w:val="Заглавие 2 Char"/>
    <w:link w:val="2"/>
    <w:rsid w:val="00AB3EA9"/>
    <w:rPr>
      <w:rFonts w:asciiTheme="minorHAnsi" w:eastAsia="Times New Roman" w:hAnsiTheme="minorHAnsi"/>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233740"/>
    <w:pPr>
      <w:numPr>
        <w:ilvl w:val="3"/>
        <w:numId w:val="7"/>
      </w:numPr>
      <w:jc w:val="left"/>
    </w:pPr>
    <w:rPr>
      <w:b/>
      <w:color w:val="008080"/>
    </w:rPr>
  </w:style>
  <w:style w:type="paragraph" w:styleId="TOC4">
    <w:name w:val="toc 4"/>
    <w:basedOn w:val="Normal"/>
    <w:next w:val="Normal"/>
    <w:autoRedefine/>
    <w:uiPriority w:val="39"/>
    <w:unhideWhenUsed/>
    <w:rsid w:val="00233740"/>
    <w:pPr>
      <w:spacing w:after="100"/>
      <w:ind w:left="720"/>
    </w:pPr>
  </w:style>
  <w:style w:type="character" w:customStyle="1" w:styleId="bold">
    <w:name w:val="bold"/>
    <w:basedOn w:val="DefaultParagraphFont"/>
    <w:rsid w:val="00512127"/>
  </w:style>
  <w:style w:type="paragraph" w:styleId="TableofFigures">
    <w:name w:val="table of figures"/>
    <w:basedOn w:val="Normal"/>
    <w:next w:val="Normal"/>
    <w:uiPriority w:val="99"/>
    <w:unhideWhenUsed/>
    <w:rsid w:val="00475523"/>
    <w:pPr>
      <w:spacing w:after="0"/>
    </w:p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rsid w:val="00190990"/>
    <w:rPr>
      <w:rFonts w:asciiTheme="minorHAnsi" w:hAnsiTheme="minorHAns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543">
      <w:bodyDiv w:val="1"/>
      <w:marLeft w:val="0"/>
      <w:marRight w:val="0"/>
      <w:marTop w:val="0"/>
      <w:marBottom w:val="0"/>
      <w:divBdr>
        <w:top w:val="none" w:sz="0" w:space="0" w:color="auto"/>
        <w:left w:val="none" w:sz="0" w:space="0" w:color="auto"/>
        <w:bottom w:val="none" w:sz="0" w:space="0" w:color="auto"/>
        <w:right w:val="none" w:sz="0" w:space="0" w:color="auto"/>
      </w:divBdr>
    </w:div>
    <w:div w:id="130442873">
      <w:bodyDiv w:val="1"/>
      <w:marLeft w:val="0"/>
      <w:marRight w:val="0"/>
      <w:marTop w:val="0"/>
      <w:marBottom w:val="0"/>
      <w:divBdr>
        <w:top w:val="none" w:sz="0" w:space="0" w:color="auto"/>
        <w:left w:val="none" w:sz="0" w:space="0" w:color="auto"/>
        <w:bottom w:val="none" w:sz="0" w:space="0" w:color="auto"/>
        <w:right w:val="none" w:sz="0" w:space="0" w:color="auto"/>
      </w:divBdr>
    </w:div>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198056202">
      <w:bodyDiv w:val="1"/>
      <w:marLeft w:val="0"/>
      <w:marRight w:val="0"/>
      <w:marTop w:val="0"/>
      <w:marBottom w:val="0"/>
      <w:divBdr>
        <w:top w:val="none" w:sz="0" w:space="0" w:color="auto"/>
        <w:left w:val="none" w:sz="0" w:space="0" w:color="auto"/>
        <w:bottom w:val="none" w:sz="0" w:space="0" w:color="auto"/>
        <w:right w:val="none" w:sz="0" w:space="0" w:color="auto"/>
      </w:divBdr>
    </w:div>
    <w:div w:id="438724976">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781388962">
      <w:bodyDiv w:val="1"/>
      <w:marLeft w:val="0"/>
      <w:marRight w:val="0"/>
      <w:marTop w:val="0"/>
      <w:marBottom w:val="0"/>
      <w:divBdr>
        <w:top w:val="none" w:sz="0" w:space="0" w:color="auto"/>
        <w:left w:val="none" w:sz="0" w:space="0" w:color="auto"/>
        <w:bottom w:val="none" w:sz="0" w:space="0" w:color="auto"/>
        <w:right w:val="none" w:sz="0" w:space="0" w:color="auto"/>
      </w:divBdr>
    </w:div>
    <w:div w:id="894663494">
      <w:bodyDiv w:val="1"/>
      <w:marLeft w:val="0"/>
      <w:marRight w:val="0"/>
      <w:marTop w:val="0"/>
      <w:marBottom w:val="0"/>
      <w:divBdr>
        <w:top w:val="none" w:sz="0" w:space="0" w:color="auto"/>
        <w:left w:val="none" w:sz="0" w:space="0" w:color="auto"/>
        <w:bottom w:val="none" w:sz="0" w:space="0" w:color="auto"/>
        <w:right w:val="none" w:sz="0" w:space="0" w:color="auto"/>
      </w:divBdr>
    </w:div>
    <w:div w:id="941449853">
      <w:bodyDiv w:val="1"/>
      <w:marLeft w:val="0"/>
      <w:marRight w:val="0"/>
      <w:marTop w:val="0"/>
      <w:marBottom w:val="0"/>
      <w:divBdr>
        <w:top w:val="none" w:sz="0" w:space="0" w:color="auto"/>
        <w:left w:val="none" w:sz="0" w:space="0" w:color="auto"/>
        <w:bottom w:val="none" w:sz="0" w:space="0" w:color="auto"/>
        <w:right w:val="none" w:sz="0" w:space="0" w:color="auto"/>
      </w:divBdr>
    </w:div>
    <w:div w:id="1085031066">
      <w:bodyDiv w:val="1"/>
      <w:marLeft w:val="0"/>
      <w:marRight w:val="0"/>
      <w:marTop w:val="0"/>
      <w:marBottom w:val="0"/>
      <w:divBdr>
        <w:top w:val="none" w:sz="0" w:space="0" w:color="auto"/>
        <w:left w:val="none" w:sz="0" w:space="0" w:color="auto"/>
        <w:bottom w:val="none" w:sz="0" w:space="0" w:color="auto"/>
        <w:right w:val="none" w:sz="0" w:space="0" w:color="auto"/>
      </w:divBdr>
    </w:div>
    <w:div w:id="1195267126">
      <w:bodyDiv w:val="1"/>
      <w:marLeft w:val="0"/>
      <w:marRight w:val="0"/>
      <w:marTop w:val="0"/>
      <w:marBottom w:val="0"/>
      <w:divBdr>
        <w:top w:val="none" w:sz="0" w:space="0" w:color="auto"/>
        <w:left w:val="none" w:sz="0" w:space="0" w:color="auto"/>
        <w:bottom w:val="none" w:sz="0" w:space="0" w:color="auto"/>
        <w:right w:val="none" w:sz="0" w:space="0" w:color="auto"/>
      </w:divBdr>
    </w:div>
    <w:div w:id="1643920556">
      <w:bodyDiv w:val="1"/>
      <w:marLeft w:val="0"/>
      <w:marRight w:val="0"/>
      <w:marTop w:val="0"/>
      <w:marBottom w:val="0"/>
      <w:divBdr>
        <w:top w:val="none" w:sz="0" w:space="0" w:color="auto"/>
        <w:left w:val="none" w:sz="0" w:space="0" w:color="auto"/>
        <w:bottom w:val="none" w:sz="0" w:space="0" w:color="auto"/>
        <w:right w:val="none" w:sz="0" w:space="0" w:color="auto"/>
      </w:divBdr>
    </w:div>
    <w:div w:id="1862426484">
      <w:bodyDiv w:val="1"/>
      <w:marLeft w:val="0"/>
      <w:marRight w:val="0"/>
      <w:marTop w:val="0"/>
      <w:marBottom w:val="0"/>
      <w:divBdr>
        <w:top w:val="none" w:sz="0" w:space="0" w:color="auto"/>
        <w:left w:val="none" w:sz="0" w:space="0" w:color="auto"/>
        <w:bottom w:val="none" w:sz="0" w:space="0" w:color="auto"/>
        <w:right w:val="none" w:sz="0" w:space="0" w:color="auto"/>
      </w:divBdr>
    </w:div>
    <w:div w:id="1878081768">
      <w:bodyDiv w:val="1"/>
      <w:marLeft w:val="0"/>
      <w:marRight w:val="0"/>
      <w:marTop w:val="0"/>
      <w:marBottom w:val="0"/>
      <w:divBdr>
        <w:top w:val="none" w:sz="0" w:space="0" w:color="auto"/>
        <w:left w:val="none" w:sz="0" w:space="0" w:color="auto"/>
        <w:bottom w:val="none" w:sz="0" w:space="0" w:color="auto"/>
        <w:right w:val="none" w:sz="0" w:space="0" w:color="auto"/>
      </w:divBdr>
    </w:div>
    <w:div w:id="1963537231">
      <w:bodyDiv w:val="1"/>
      <w:marLeft w:val="0"/>
      <w:marRight w:val="0"/>
      <w:marTop w:val="0"/>
      <w:marBottom w:val="0"/>
      <w:divBdr>
        <w:top w:val="none" w:sz="0" w:space="0" w:color="auto"/>
        <w:left w:val="none" w:sz="0" w:space="0" w:color="auto"/>
        <w:bottom w:val="none" w:sz="0" w:space="0" w:color="auto"/>
        <w:right w:val="none" w:sz="0" w:space="0" w:color="auto"/>
      </w:divBdr>
    </w:div>
    <w:div w:id="1980303416">
      <w:bodyDiv w:val="1"/>
      <w:marLeft w:val="0"/>
      <w:marRight w:val="0"/>
      <w:marTop w:val="0"/>
      <w:marBottom w:val="0"/>
      <w:divBdr>
        <w:top w:val="none" w:sz="0" w:space="0" w:color="auto"/>
        <w:left w:val="none" w:sz="0" w:space="0" w:color="auto"/>
        <w:bottom w:val="none" w:sz="0" w:space="0" w:color="auto"/>
        <w:right w:val="none" w:sz="0" w:space="0" w:color="auto"/>
      </w:divBdr>
    </w:div>
    <w:div w:id="2014718363">
      <w:bodyDiv w:val="1"/>
      <w:marLeft w:val="0"/>
      <w:marRight w:val="0"/>
      <w:marTop w:val="0"/>
      <w:marBottom w:val="0"/>
      <w:divBdr>
        <w:top w:val="none" w:sz="0" w:space="0" w:color="auto"/>
        <w:left w:val="none" w:sz="0" w:space="0" w:color="auto"/>
        <w:bottom w:val="none" w:sz="0" w:space="0" w:color="auto"/>
        <w:right w:val="none" w:sz="0" w:space="0" w:color="auto"/>
      </w:divBdr>
    </w:div>
    <w:div w:id="2145080203">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gal-content/BG/AUTO/?uri=celex:32014R0538" TargetMode="External"/><Relationship Id="rId10" Type="http://schemas.openxmlformats.org/officeDocument/2006/relationships/hyperlink" Target="https://eur-lex.europa.eu/legal-content/BG/AUTO/?uri=celex:32014R053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2020.eufunds.bg/bg/6/0/Project/Search?Prior=98T724QkD1s%3D&amp;Proc=4KJHC%2FOXKzk%3D&amp;showRes=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YANA\Projects\NPUO\NSI\Ecology_7.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YANA\Projects\NPUO\NSI\Ecology_7.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percentStacked"/>
        <c:varyColors val="0"/>
        <c:ser>
          <c:idx val="0"/>
          <c:order val="0"/>
          <c:tx>
            <c:strRef>
              <c:f>'Раз. по изт-придобив_ДМА 2010'!$A$87</c:f>
              <c:strCache>
                <c:ptCount val="1"/>
                <c:pt idx="0">
                  <c:v>Собствени средства</c:v>
                </c:pt>
              </c:strCache>
            </c:strRef>
          </c:tx>
          <c:spPr>
            <a:solidFill>
              <a:srgbClr val="FF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2010'!$B$86:$F$86</c:f>
              <c:numCache>
                <c:formatCode>General</c:formatCode>
                <c:ptCount val="5"/>
                <c:pt idx="0">
                  <c:v>2009</c:v>
                </c:pt>
                <c:pt idx="1">
                  <c:v>2010</c:v>
                </c:pt>
                <c:pt idx="2">
                  <c:v>2011</c:v>
                </c:pt>
                <c:pt idx="3">
                  <c:v>2012</c:v>
                </c:pt>
                <c:pt idx="4">
                  <c:v>2013</c:v>
                </c:pt>
              </c:numCache>
            </c:numRef>
          </c:cat>
          <c:val>
            <c:numRef>
              <c:f>'Раз. по изт-придобив_ДМА 2010'!$B$87:$F$87</c:f>
              <c:numCache>
                <c:formatCode>0.0%</c:formatCode>
                <c:ptCount val="5"/>
                <c:pt idx="0">
                  <c:v>0.49592925222984013</c:v>
                </c:pt>
                <c:pt idx="1">
                  <c:v>0.50511054863175109</c:v>
                </c:pt>
                <c:pt idx="2">
                  <c:v>0.55295256434680085</c:v>
                </c:pt>
                <c:pt idx="3">
                  <c:v>0.5832147495381661</c:v>
                </c:pt>
                <c:pt idx="4">
                  <c:v>0.54877030162412999</c:v>
                </c:pt>
              </c:numCache>
            </c:numRef>
          </c:val>
          <c:extLst>
            <c:ext xmlns:c16="http://schemas.microsoft.com/office/drawing/2014/chart" uri="{C3380CC4-5D6E-409C-BE32-E72D297353CC}">
              <c16:uniqueId val="{00000000-C5AB-4F32-898F-7BE4B6259FB2}"/>
            </c:ext>
          </c:extLst>
        </c:ser>
        <c:ser>
          <c:idx val="1"/>
          <c:order val="1"/>
          <c:tx>
            <c:strRef>
              <c:f>'Раз. по изт-придобив_ДМА 2010'!$A$88</c:f>
              <c:strCache>
                <c:ptCount val="1"/>
                <c:pt idx="0">
                  <c:v>Средства от Републиканския бюджет</c:v>
                </c:pt>
              </c:strCache>
            </c:strRef>
          </c:tx>
          <c:invertIfNegative val="0"/>
          <c:cat>
            <c:numRef>
              <c:f>'Раз. по изт-придобив_ДМА 2010'!$B$86:$F$86</c:f>
              <c:numCache>
                <c:formatCode>General</c:formatCode>
                <c:ptCount val="5"/>
                <c:pt idx="0">
                  <c:v>2009</c:v>
                </c:pt>
                <c:pt idx="1">
                  <c:v>2010</c:v>
                </c:pt>
                <c:pt idx="2">
                  <c:v>2011</c:v>
                </c:pt>
                <c:pt idx="3">
                  <c:v>2012</c:v>
                </c:pt>
                <c:pt idx="4">
                  <c:v>2013</c:v>
                </c:pt>
              </c:numCache>
            </c:numRef>
          </c:cat>
          <c:val>
            <c:numRef>
              <c:f>'Раз. по изт-придобив_ДМА 2010'!$B$88:$F$88</c:f>
              <c:numCache>
                <c:formatCode>0.0%</c:formatCode>
                <c:ptCount val="5"/>
                <c:pt idx="0">
                  <c:v>5.1652133081317719E-3</c:v>
                </c:pt>
                <c:pt idx="1">
                  <c:v>1.1162816337218116E-3</c:v>
                </c:pt>
                <c:pt idx="2">
                  <c:v>1.2168268793453505E-3</c:v>
                </c:pt>
                <c:pt idx="3">
                  <c:v>1.4819402594842034E-3</c:v>
                </c:pt>
                <c:pt idx="4">
                  <c:v>1.0949190541984931E-3</c:v>
                </c:pt>
              </c:numCache>
            </c:numRef>
          </c:val>
          <c:extLst>
            <c:ext xmlns:c16="http://schemas.microsoft.com/office/drawing/2014/chart" uri="{C3380CC4-5D6E-409C-BE32-E72D297353CC}">
              <c16:uniqueId val="{00000001-C5AB-4F32-898F-7BE4B6259FB2}"/>
            </c:ext>
          </c:extLst>
        </c:ser>
        <c:ser>
          <c:idx val="2"/>
          <c:order val="2"/>
          <c:tx>
            <c:strRef>
              <c:f>'Раз. по изт-придобив_ДМА 2010'!$A$89</c:f>
              <c:strCache>
                <c:ptCount val="1"/>
                <c:pt idx="0">
                  <c:v>Средства на общините </c:v>
                </c:pt>
              </c:strCache>
            </c:strRef>
          </c:tx>
          <c:spPr>
            <a:solidFill>
              <a:srgbClr val="00B05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2010'!$B$86:$F$86</c:f>
              <c:numCache>
                <c:formatCode>General</c:formatCode>
                <c:ptCount val="5"/>
                <c:pt idx="0">
                  <c:v>2009</c:v>
                </c:pt>
                <c:pt idx="1">
                  <c:v>2010</c:v>
                </c:pt>
                <c:pt idx="2">
                  <c:v>2011</c:v>
                </c:pt>
                <c:pt idx="3">
                  <c:v>2012</c:v>
                </c:pt>
                <c:pt idx="4">
                  <c:v>2013</c:v>
                </c:pt>
              </c:numCache>
            </c:numRef>
          </c:cat>
          <c:val>
            <c:numRef>
              <c:f>'Раз. по изт-придобив_ДМА 2010'!$B$89:$F$89</c:f>
              <c:numCache>
                <c:formatCode>0.0%</c:formatCode>
                <c:ptCount val="5"/>
                <c:pt idx="0">
                  <c:v>0.48813874455435213</c:v>
                </c:pt>
                <c:pt idx="1">
                  <c:v>0.47524197586442918</c:v>
                </c:pt>
                <c:pt idx="2">
                  <c:v>0.42712511348755627</c:v>
                </c:pt>
                <c:pt idx="3">
                  <c:v>0.40802219374306176</c:v>
                </c:pt>
                <c:pt idx="4">
                  <c:v>0.39470267733778253</c:v>
                </c:pt>
              </c:numCache>
            </c:numRef>
          </c:val>
          <c:extLst>
            <c:ext xmlns:c16="http://schemas.microsoft.com/office/drawing/2014/chart" uri="{C3380CC4-5D6E-409C-BE32-E72D297353CC}">
              <c16:uniqueId val="{00000002-C5AB-4F32-898F-7BE4B6259FB2}"/>
            </c:ext>
          </c:extLst>
        </c:ser>
        <c:ser>
          <c:idx val="3"/>
          <c:order val="3"/>
          <c:tx>
            <c:strRef>
              <c:f>'Раз. по изт-придобив_ДМА 2010'!$A$90</c:f>
              <c:strCache>
                <c:ptCount val="1"/>
                <c:pt idx="0">
                  <c:v>Целеви средства за ОС, получени от държавата  (субсидии) </c:v>
                </c:pt>
              </c:strCache>
            </c:strRef>
          </c:tx>
          <c:invertIfNegative val="0"/>
          <c:cat>
            <c:numRef>
              <c:f>'Раз. по изт-придобив_ДМА 2010'!$B$86:$F$86</c:f>
              <c:numCache>
                <c:formatCode>General</c:formatCode>
                <c:ptCount val="5"/>
                <c:pt idx="0">
                  <c:v>2009</c:v>
                </c:pt>
                <c:pt idx="1">
                  <c:v>2010</c:v>
                </c:pt>
                <c:pt idx="2">
                  <c:v>2011</c:v>
                </c:pt>
                <c:pt idx="3">
                  <c:v>2012</c:v>
                </c:pt>
                <c:pt idx="4">
                  <c:v>2013</c:v>
                </c:pt>
              </c:numCache>
            </c:numRef>
          </c:cat>
          <c:val>
            <c:numRef>
              <c:f>'Раз. по изт-придобив_ДМА 2010'!$B$90:$F$90</c:f>
              <c:numCache>
                <c:formatCode>0.0%</c:formatCode>
                <c:ptCount val="5"/>
                <c:pt idx="0">
                  <c:v>4.0766766192279688E-3</c:v>
                </c:pt>
                <c:pt idx="1">
                  <c:v>8.6316592171328567E-3</c:v>
                </c:pt>
                <c:pt idx="2">
                  <c:v>6.8993569181499429E-3</c:v>
                </c:pt>
                <c:pt idx="3">
                  <c:v>2.4088226343604406E-3</c:v>
                </c:pt>
                <c:pt idx="4">
                  <c:v>1.7560416069240595E-3</c:v>
                </c:pt>
              </c:numCache>
            </c:numRef>
          </c:val>
          <c:extLst>
            <c:ext xmlns:c16="http://schemas.microsoft.com/office/drawing/2014/chart" uri="{C3380CC4-5D6E-409C-BE32-E72D297353CC}">
              <c16:uniqueId val="{00000003-C5AB-4F32-898F-7BE4B6259FB2}"/>
            </c:ext>
          </c:extLst>
        </c:ser>
        <c:ser>
          <c:idx val="4"/>
          <c:order val="4"/>
          <c:tx>
            <c:strRef>
              <c:f>'Раз. по изт-придобив_ДМА 2010'!$A$91</c:f>
              <c:strCache>
                <c:ptCount val="1"/>
                <c:pt idx="0">
                  <c:v>Национални фондове</c:v>
                </c:pt>
              </c:strCache>
            </c:strRef>
          </c:tx>
          <c:spPr>
            <a:solidFill>
              <a:schemeClr val="bg1">
                <a:lumMod val="7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2010'!$B$86:$F$86</c:f>
              <c:numCache>
                <c:formatCode>General</c:formatCode>
                <c:ptCount val="5"/>
                <c:pt idx="0">
                  <c:v>2009</c:v>
                </c:pt>
                <c:pt idx="1">
                  <c:v>2010</c:v>
                </c:pt>
                <c:pt idx="2">
                  <c:v>2011</c:v>
                </c:pt>
                <c:pt idx="3">
                  <c:v>2012</c:v>
                </c:pt>
                <c:pt idx="4">
                  <c:v>2013</c:v>
                </c:pt>
              </c:numCache>
            </c:numRef>
          </c:cat>
          <c:val>
            <c:numRef>
              <c:f>'Раз. по изт-придобив_ДМА 2010'!$B$91:$F$91</c:f>
              <c:numCache>
                <c:formatCode>0.0%</c:formatCode>
                <c:ptCount val="5"/>
                <c:pt idx="0">
                  <c:v>6.5098762767776472E-3</c:v>
                </c:pt>
                <c:pt idx="1">
                  <c:v>9.2334406739952312E-4</c:v>
                </c:pt>
                <c:pt idx="2">
                  <c:v>1.2993788862515725E-2</c:v>
                </c:pt>
                <c:pt idx="3">
                  <c:v>3.6935994753738606E-3</c:v>
                </c:pt>
                <c:pt idx="4">
                  <c:v>5.0449698897260094E-2</c:v>
                </c:pt>
              </c:numCache>
            </c:numRef>
          </c:val>
          <c:extLst>
            <c:ext xmlns:c16="http://schemas.microsoft.com/office/drawing/2014/chart" uri="{C3380CC4-5D6E-409C-BE32-E72D297353CC}">
              <c16:uniqueId val="{00000004-C5AB-4F32-898F-7BE4B6259FB2}"/>
            </c:ext>
          </c:extLst>
        </c:ser>
        <c:ser>
          <c:idx val="5"/>
          <c:order val="5"/>
          <c:tx>
            <c:strRef>
              <c:f>'Раз. по изт-придобив_ДМА 2010'!$A$92</c:f>
              <c:strCache>
                <c:ptCount val="1"/>
                <c:pt idx="0">
                  <c:v>Оперативна програма "Околна среда"</c:v>
                </c:pt>
              </c:strCache>
            </c:strRef>
          </c:tx>
          <c:invertIfNegative val="0"/>
          <c:cat>
            <c:numRef>
              <c:f>'Раз. по изт-придобив_ДМА 2010'!$B$86:$F$86</c:f>
              <c:numCache>
                <c:formatCode>General</c:formatCode>
                <c:ptCount val="5"/>
                <c:pt idx="0">
                  <c:v>2009</c:v>
                </c:pt>
                <c:pt idx="1">
                  <c:v>2010</c:v>
                </c:pt>
                <c:pt idx="2">
                  <c:v>2011</c:v>
                </c:pt>
                <c:pt idx="3">
                  <c:v>2012</c:v>
                </c:pt>
                <c:pt idx="4">
                  <c:v>2013</c:v>
                </c:pt>
              </c:numCache>
            </c:numRef>
          </c:cat>
          <c:val>
            <c:numRef>
              <c:f>'Раз. по изт-придобив_ДМА 2010'!$B$92:$F$92</c:f>
              <c:numCache>
                <c:formatCode>0.0%</c:formatCode>
                <c:ptCount val="5"/>
                <c:pt idx="0">
                  <c:v>0</c:v>
                </c:pt>
                <c:pt idx="1">
                  <c:v>5.213908042280889E-4</c:v>
                </c:pt>
                <c:pt idx="2">
                  <c:v>8.7529154931753009E-5</c:v>
                </c:pt>
                <c:pt idx="3">
                  <c:v>9.2152467328735714E-4</c:v>
                </c:pt>
                <c:pt idx="4">
                  <c:v>0</c:v>
                </c:pt>
              </c:numCache>
            </c:numRef>
          </c:val>
          <c:extLst>
            <c:ext xmlns:c16="http://schemas.microsoft.com/office/drawing/2014/chart" uri="{C3380CC4-5D6E-409C-BE32-E72D297353CC}">
              <c16:uniqueId val="{00000005-C5AB-4F32-898F-7BE4B6259FB2}"/>
            </c:ext>
          </c:extLst>
        </c:ser>
        <c:ser>
          <c:idx val="6"/>
          <c:order val="6"/>
          <c:tx>
            <c:strRef>
              <c:f>'Раз. по изт-придобив_ДМА 2010'!$A$93</c:f>
              <c:strCache>
                <c:ptCount val="1"/>
                <c:pt idx="0">
                  <c:v>Заемни средства от  източници в страната</c:v>
                </c:pt>
              </c:strCache>
            </c:strRef>
          </c:tx>
          <c:invertIfNegative val="0"/>
          <c:cat>
            <c:numRef>
              <c:f>'Раз. по изт-придобив_ДМА 2010'!$B$86:$F$86</c:f>
              <c:numCache>
                <c:formatCode>General</c:formatCode>
                <c:ptCount val="5"/>
                <c:pt idx="0">
                  <c:v>2009</c:v>
                </c:pt>
                <c:pt idx="1">
                  <c:v>2010</c:v>
                </c:pt>
                <c:pt idx="2">
                  <c:v>2011</c:v>
                </c:pt>
                <c:pt idx="3">
                  <c:v>2012</c:v>
                </c:pt>
                <c:pt idx="4">
                  <c:v>2013</c:v>
                </c:pt>
              </c:numCache>
            </c:numRef>
          </c:cat>
          <c:val>
            <c:numRef>
              <c:f>'Раз. по изт-придобив_ДМА 2010'!$B$93:$F$93</c:f>
              <c:numCache>
                <c:formatCode>0.0%</c:formatCode>
                <c:ptCount val="5"/>
                <c:pt idx="0">
                  <c:v>1.2569160024379427E-4</c:v>
                </c:pt>
                <c:pt idx="1">
                  <c:v>8.4547997813374243E-3</c:v>
                </c:pt>
                <c:pt idx="2">
                  <c:v>7.306110049891618E-3</c:v>
                </c:pt>
                <c:pt idx="3">
                  <c:v>4.2861612711039865E-5</c:v>
                </c:pt>
                <c:pt idx="4">
                  <c:v>1.7476993665111187E-3</c:v>
                </c:pt>
              </c:numCache>
            </c:numRef>
          </c:val>
          <c:extLst>
            <c:ext xmlns:c16="http://schemas.microsoft.com/office/drawing/2014/chart" uri="{C3380CC4-5D6E-409C-BE32-E72D297353CC}">
              <c16:uniqueId val="{00000006-C5AB-4F32-898F-7BE4B6259FB2}"/>
            </c:ext>
          </c:extLst>
        </c:ser>
        <c:ser>
          <c:idx val="7"/>
          <c:order val="7"/>
          <c:tx>
            <c:strRef>
              <c:f>'Раз. по изт-придобив_ДМА 2010'!$A$94</c:f>
              <c:strCache>
                <c:ptCount val="1"/>
                <c:pt idx="0">
                  <c:v>Чуждестранни източници</c:v>
                </c:pt>
              </c:strCache>
            </c:strRef>
          </c:tx>
          <c:invertIfNegative val="0"/>
          <c:cat>
            <c:numRef>
              <c:f>'Раз. по изт-придобив_ДМА 2010'!$B$86:$F$86</c:f>
              <c:numCache>
                <c:formatCode>General</c:formatCode>
                <c:ptCount val="5"/>
                <c:pt idx="0">
                  <c:v>2009</c:v>
                </c:pt>
                <c:pt idx="1">
                  <c:v>2010</c:v>
                </c:pt>
                <c:pt idx="2">
                  <c:v>2011</c:v>
                </c:pt>
                <c:pt idx="3">
                  <c:v>2012</c:v>
                </c:pt>
                <c:pt idx="4">
                  <c:v>2013</c:v>
                </c:pt>
              </c:numCache>
            </c:numRef>
          </c:cat>
          <c:val>
            <c:numRef>
              <c:f>'Раз. по изт-придобив_ДМА 2010'!$B$94:$F$94</c:f>
              <c:numCache>
                <c:formatCode>0.0%</c:formatCode>
                <c:ptCount val="5"/>
                <c:pt idx="0">
                  <c:v>5.4545411426552231E-5</c:v>
                </c:pt>
                <c:pt idx="1">
                  <c:v>0</c:v>
                </c:pt>
                <c:pt idx="2">
                  <c:v>0</c:v>
                </c:pt>
                <c:pt idx="3">
                  <c:v>2.1430806355519932E-4</c:v>
                </c:pt>
                <c:pt idx="4">
                  <c:v>1.4786621131937746E-3</c:v>
                </c:pt>
              </c:numCache>
            </c:numRef>
          </c:val>
          <c:extLst>
            <c:ext xmlns:c16="http://schemas.microsoft.com/office/drawing/2014/chart" uri="{C3380CC4-5D6E-409C-BE32-E72D297353CC}">
              <c16:uniqueId val="{00000007-C5AB-4F32-898F-7BE4B6259FB2}"/>
            </c:ext>
          </c:extLst>
        </c:ser>
        <c:dLbls>
          <c:showLegendKey val="0"/>
          <c:showVal val="0"/>
          <c:showCatName val="0"/>
          <c:showSerName val="0"/>
          <c:showPercent val="0"/>
          <c:showBubbleSize val="0"/>
        </c:dLbls>
        <c:gapWidth val="150"/>
        <c:shape val="box"/>
        <c:axId val="112908160"/>
        <c:axId val="112909696"/>
        <c:axId val="0"/>
      </c:bar3DChart>
      <c:catAx>
        <c:axId val="112908160"/>
        <c:scaling>
          <c:orientation val="minMax"/>
        </c:scaling>
        <c:delete val="0"/>
        <c:axPos val="l"/>
        <c:numFmt formatCode="General" sourceLinked="1"/>
        <c:majorTickMark val="out"/>
        <c:minorTickMark val="none"/>
        <c:tickLblPos val="nextTo"/>
        <c:crossAx val="112909696"/>
        <c:crosses val="autoZero"/>
        <c:auto val="1"/>
        <c:lblAlgn val="ctr"/>
        <c:lblOffset val="100"/>
        <c:noMultiLvlLbl val="0"/>
      </c:catAx>
      <c:valAx>
        <c:axId val="112909696"/>
        <c:scaling>
          <c:orientation val="minMax"/>
        </c:scaling>
        <c:delete val="0"/>
        <c:axPos val="b"/>
        <c:majorGridlines/>
        <c:numFmt formatCode="0%" sourceLinked="1"/>
        <c:majorTickMark val="out"/>
        <c:minorTickMark val="none"/>
        <c:tickLblPos val="nextTo"/>
        <c:crossAx val="112908160"/>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7.9488154258495494E-2"/>
          <c:y val="4.2324098984463994E-2"/>
          <c:w val="0.58514595397797486"/>
          <c:h val="0.86128602244358976"/>
        </c:manualLayout>
      </c:layout>
      <c:bar3DChart>
        <c:barDir val="bar"/>
        <c:grouping val="percentStacked"/>
        <c:varyColors val="0"/>
        <c:ser>
          <c:idx val="0"/>
          <c:order val="0"/>
          <c:tx>
            <c:strRef>
              <c:f>'Раз. по изт-придобив_ДМА 2010'!$A$51</c:f>
              <c:strCache>
                <c:ptCount val="1"/>
                <c:pt idx="0">
                  <c:v>Собствени средства</c:v>
                </c:pt>
              </c:strCache>
            </c:strRef>
          </c:tx>
          <c:spPr>
            <a:solidFill>
              <a:srgbClr val="FF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2010'!$B$50:$G$50</c:f>
              <c:numCache>
                <c:formatCode>General</c:formatCode>
                <c:ptCount val="6"/>
                <c:pt idx="0">
                  <c:v>2008</c:v>
                </c:pt>
                <c:pt idx="1">
                  <c:v>2009</c:v>
                </c:pt>
                <c:pt idx="2">
                  <c:v>2010</c:v>
                </c:pt>
                <c:pt idx="3">
                  <c:v>2011</c:v>
                </c:pt>
                <c:pt idx="4">
                  <c:v>2012</c:v>
                </c:pt>
                <c:pt idx="5">
                  <c:v>2013</c:v>
                </c:pt>
              </c:numCache>
            </c:numRef>
          </c:cat>
          <c:val>
            <c:numRef>
              <c:f>'Раз. по изт-придобив_ДМА 2010'!$B$51:$G$51</c:f>
              <c:numCache>
                <c:formatCode>0.0%</c:formatCode>
                <c:ptCount val="6"/>
                <c:pt idx="0">
                  <c:v>0.49704794797735929</c:v>
                </c:pt>
                <c:pt idx="1">
                  <c:v>0.29043559891707948</c:v>
                </c:pt>
                <c:pt idx="2">
                  <c:v>0.45869576895581349</c:v>
                </c:pt>
                <c:pt idx="3">
                  <c:v>0.47353939503169024</c:v>
                </c:pt>
                <c:pt idx="4">
                  <c:v>0.38742545930853817</c:v>
                </c:pt>
                <c:pt idx="5">
                  <c:v>0.22651051123566807</c:v>
                </c:pt>
              </c:numCache>
            </c:numRef>
          </c:val>
          <c:extLst>
            <c:ext xmlns:c16="http://schemas.microsoft.com/office/drawing/2014/chart" uri="{C3380CC4-5D6E-409C-BE32-E72D297353CC}">
              <c16:uniqueId val="{00000000-03D4-47FC-ABFE-8C2B96106E03}"/>
            </c:ext>
          </c:extLst>
        </c:ser>
        <c:ser>
          <c:idx val="1"/>
          <c:order val="1"/>
          <c:tx>
            <c:strRef>
              <c:f>'Раз. по изт-придобив_ДМА 2010'!$A$52</c:f>
              <c:strCache>
                <c:ptCount val="1"/>
                <c:pt idx="0">
                  <c:v>Средства от Републиканския бюджет</c:v>
                </c:pt>
              </c:strCache>
            </c:strRef>
          </c:tx>
          <c:spPr>
            <a:solidFill>
              <a:srgbClr val="FFC000"/>
            </a:solidFill>
          </c:spPr>
          <c:invertIfNegative val="0"/>
          <c:cat>
            <c:numRef>
              <c:f>'Раз. по изт-придобив_ДМА 2010'!$B$50:$G$50</c:f>
              <c:numCache>
                <c:formatCode>General</c:formatCode>
                <c:ptCount val="6"/>
                <c:pt idx="0">
                  <c:v>2008</c:v>
                </c:pt>
                <c:pt idx="1">
                  <c:v>2009</c:v>
                </c:pt>
                <c:pt idx="2">
                  <c:v>2010</c:v>
                </c:pt>
                <c:pt idx="3">
                  <c:v>2011</c:v>
                </c:pt>
                <c:pt idx="4">
                  <c:v>2012</c:v>
                </c:pt>
                <c:pt idx="5">
                  <c:v>2013</c:v>
                </c:pt>
              </c:numCache>
            </c:numRef>
          </c:cat>
          <c:val>
            <c:numRef>
              <c:f>'Раз. по изт-придобив_ДМА 2010'!$B$52:$G$52</c:f>
              <c:numCache>
                <c:formatCode>0.0%</c:formatCode>
                <c:ptCount val="6"/>
                <c:pt idx="0">
                  <c:v>1.7185654967485849E-4</c:v>
                </c:pt>
                <c:pt idx="1">
                  <c:v>2.030056912000134E-2</c:v>
                </c:pt>
                <c:pt idx="2">
                  <c:v>7.5207543895172257E-4</c:v>
                </c:pt>
                <c:pt idx="3">
                  <c:v>5.7012405755309241E-2</c:v>
                </c:pt>
                <c:pt idx="4">
                  <c:v>0</c:v>
                </c:pt>
                <c:pt idx="5">
                  <c:v>5.2939291635127541E-4</c:v>
                </c:pt>
              </c:numCache>
            </c:numRef>
          </c:val>
          <c:extLst>
            <c:ext xmlns:c16="http://schemas.microsoft.com/office/drawing/2014/chart" uri="{C3380CC4-5D6E-409C-BE32-E72D297353CC}">
              <c16:uniqueId val="{00000001-03D4-47FC-ABFE-8C2B96106E03}"/>
            </c:ext>
          </c:extLst>
        </c:ser>
        <c:ser>
          <c:idx val="2"/>
          <c:order val="2"/>
          <c:tx>
            <c:strRef>
              <c:f>'Раз. по изт-придобив_ДМА 2010'!$A$53</c:f>
              <c:strCache>
                <c:ptCount val="1"/>
                <c:pt idx="0">
                  <c:v>Средства на общините </c:v>
                </c:pt>
              </c:strCache>
            </c:strRef>
          </c:tx>
          <c:spPr>
            <a:solidFill>
              <a:srgbClr val="00B050"/>
            </a:solidFill>
          </c:spPr>
          <c:invertIfNegative val="0"/>
          <c:dLbls>
            <c:dLbl>
              <c:idx val="2"/>
              <c:layout>
                <c:manualLayout>
                  <c:x val="-9.1827364554637764E-3"/>
                  <c:y val="-2.884615384615394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3D4-47FC-ABFE-8C2B96106E03}"/>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2010'!$B$50:$G$50</c:f>
              <c:numCache>
                <c:formatCode>General</c:formatCode>
                <c:ptCount val="6"/>
                <c:pt idx="0">
                  <c:v>2008</c:v>
                </c:pt>
                <c:pt idx="1">
                  <c:v>2009</c:v>
                </c:pt>
                <c:pt idx="2">
                  <c:v>2010</c:v>
                </c:pt>
                <c:pt idx="3">
                  <c:v>2011</c:v>
                </c:pt>
                <c:pt idx="4">
                  <c:v>2012</c:v>
                </c:pt>
                <c:pt idx="5">
                  <c:v>2013</c:v>
                </c:pt>
              </c:numCache>
            </c:numRef>
          </c:cat>
          <c:val>
            <c:numRef>
              <c:f>'Раз. по изт-придобив_ДМА 2010'!$B$53:$G$53</c:f>
              <c:numCache>
                <c:formatCode>0.0%</c:formatCode>
                <c:ptCount val="6"/>
                <c:pt idx="0">
                  <c:v>0.12780029160175849</c:v>
                </c:pt>
                <c:pt idx="1">
                  <c:v>0.27793842775361044</c:v>
                </c:pt>
                <c:pt idx="2">
                  <c:v>5.2335359529250364E-2</c:v>
                </c:pt>
                <c:pt idx="3">
                  <c:v>4.9406746568141542E-2</c:v>
                </c:pt>
                <c:pt idx="4">
                  <c:v>0.12135396918410259</c:v>
                </c:pt>
                <c:pt idx="5">
                  <c:v>4.2787950274216245E-2</c:v>
                </c:pt>
              </c:numCache>
            </c:numRef>
          </c:val>
          <c:extLst>
            <c:ext xmlns:c16="http://schemas.microsoft.com/office/drawing/2014/chart" uri="{C3380CC4-5D6E-409C-BE32-E72D297353CC}">
              <c16:uniqueId val="{00000003-03D4-47FC-ABFE-8C2B96106E03}"/>
            </c:ext>
          </c:extLst>
        </c:ser>
        <c:ser>
          <c:idx val="3"/>
          <c:order val="3"/>
          <c:tx>
            <c:strRef>
              <c:f>'Раз. по изт-придобив_ДМА 2010'!$A$54</c:f>
              <c:strCache>
                <c:ptCount val="1"/>
                <c:pt idx="0">
                  <c:v>Целеви средства за ОС, получени от държавата  (субсидии) </c:v>
                </c:pt>
              </c:strCache>
            </c:strRef>
          </c:tx>
          <c:spPr>
            <a:solidFill>
              <a:srgbClr val="FFFF00"/>
            </a:solidFill>
          </c:spPr>
          <c:invertIfNegative val="0"/>
          <c:dLbls>
            <c:dLbl>
              <c:idx val="0"/>
              <c:layout>
                <c:manualLayout>
                  <c:x val="0"/>
                  <c:y val="-3.846153846153847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3D4-47FC-ABFE-8C2B96106E03}"/>
                </c:ext>
              </c:extLst>
            </c:dLbl>
            <c:dLbl>
              <c:idx val="2"/>
              <c:layout>
                <c:manualLayout>
                  <c:x val="0"/>
                  <c:y val="3.846153846153847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3D4-47FC-ABFE-8C2B96106E03}"/>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2010'!$B$50:$G$50</c:f>
              <c:numCache>
                <c:formatCode>General</c:formatCode>
                <c:ptCount val="6"/>
                <c:pt idx="0">
                  <c:v>2008</c:v>
                </c:pt>
                <c:pt idx="1">
                  <c:v>2009</c:v>
                </c:pt>
                <c:pt idx="2">
                  <c:v>2010</c:v>
                </c:pt>
                <c:pt idx="3">
                  <c:v>2011</c:v>
                </c:pt>
                <c:pt idx="4">
                  <c:v>2012</c:v>
                </c:pt>
                <c:pt idx="5">
                  <c:v>2013</c:v>
                </c:pt>
              </c:numCache>
            </c:numRef>
          </c:cat>
          <c:val>
            <c:numRef>
              <c:f>'Раз. по изт-придобив_ДМА 2010'!$B$54:$G$54</c:f>
              <c:numCache>
                <c:formatCode>0.0%</c:formatCode>
                <c:ptCount val="6"/>
                <c:pt idx="0">
                  <c:v>6.0354911493876916E-2</c:v>
                </c:pt>
                <c:pt idx="1">
                  <c:v>6.6492326518980446E-2</c:v>
                </c:pt>
                <c:pt idx="2">
                  <c:v>5.0860134629768135E-2</c:v>
                </c:pt>
                <c:pt idx="3">
                  <c:v>0.11257697275539935</c:v>
                </c:pt>
                <c:pt idx="4">
                  <c:v>0.12853055737478888</c:v>
                </c:pt>
                <c:pt idx="5">
                  <c:v>8.2041970641912126E-2</c:v>
                </c:pt>
              </c:numCache>
            </c:numRef>
          </c:val>
          <c:extLst>
            <c:ext xmlns:c16="http://schemas.microsoft.com/office/drawing/2014/chart" uri="{C3380CC4-5D6E-409C-BE32-E72D297353CC}">
              <c16:uniqueId val="{00000006-03D4-47FC-ABFE-8C2B96106E03}"/>
            </c:ext>
          </c:extLst>
        </c:ser>
        <c:ser>
          <c:idx val="4"/>
          <c:order val="4"/>
          <c:tx>
            <c:strRef>
              <c:f>'Раз. по изт-придобив_ДМА 2010'!$A$55</c:f>
              <c:strCache>
                <c:ptCount val="1"/>
                <c:pt idx="0">
                  <c:v>Национални фондове</c:v>
                </c:pt>
              </c:strCache>
            </c:strRef>
          </c:tx>
          <c:spPr>
            <a:solidFill>
              <a:schemeClr val="tx2">
                <a:lumMod val="60000"/>
                <a:lumOff val="40000"/>
              </a:schemeClr>
            </a:solidFill>
          </c:spPr>
          <c:invertIfNegative val="0"/>
          <c:dLbls>
            <c:dLbl>
              <c:idx val="1"/>
              <c:layout>
                <c:manualLayout>
                  <c:x val="0"/>
                  <c:y val="-3.846153846153847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03D4-47FC-ABFE-8C2B96106E03}"/>
                </c:ext>
              </c:extLst>
            </c:dLbl>
            <c:dLbl>
              <c:idx val="2"/>
              <c:layout>
                <c:manualLayout>
                  <c:x val="5.5096418732782518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03D4-47FC-ABFE-8C2B96106E03}"/>
                </c:ext>
              </c:extLst>
            </c:dLbl>
            <c:dLbl>
              <c:idx val="3"/>
              <c:layout>
                <c:manualLayout>
                  <c:x val="0"/>
                  <c:y val="3.525641025641025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03D4-47FC-ABFE-8C2B96106E03}"/>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2010'!$B$50:$G$50</c:f>
              <c:numCache>
                <c:formatCode>General</c:formatCode>
                <c:ptCount val="6"/>
                <c:pt idx="0">
                  <c:v>2008</c:v>
                </c:pt>
                <c:pt idx="1">
                  <c:v>2009</c:v>
                </c:pt>
                <c:pt idx="2">
                  <c:v>2010</c:v>
                </c:pt>
                <c:pt idx="3">
                  <c:v>2011</c:v>
                </c:pt>
                <c:pt idx="4">
                  <c:v>2012</c:v>
                </c:pt>
                <c:pt idx="5">
                  <c:v>2013</c:v>
                </c:pt>
              </c:numCache>
            </c:numRef>
          </c:cat>
          <c:val>
            <c:numRef>
              <c:f>'Раз. по изт-придобив_ДМА 2010'!$B$55:$G$55</c:f>
              <c:numCache>
                <c:formatCode>0.0%</c:formatCode>
                <c:ptCount val="6"/>
                <c:pt idx="0">
                  <c:v>4.0713370993940672E-2</c:v>
                </c:pt>
                <c:pt idx="1">
                  <c:v>0.12537403505242778</c:v>
                </c:pt>
                <c:pt idx="2">
                  <c:v>2.8884655594904069E-2</c:v>
                </c:pt>
                <c:pt idx="3">
                  <c:v>3.3732840707698775E-2</c:v>
                </c:pt>
                <c:pt idx="4">
                  <c:v>0.12642790665609596</c:v>
                </c:pt>
                <c:pt idx="5">
                  <c:v>0.33537505630604481</c:v>
                </c:pt>
              </c:numCache>
            </c:numRef>
          </c:val>
          <c:extLst>
            <c:ext xmlns:c16="http://schemas.microsoft.com/office/drawing/2014/chart" uri="{C3380CC4-5D6E-409C-BE32-E72D297353CC}">
              <c16:uniqueId val="{0000000A-03D4-47FC-ABFE-8C2B96106E03}"/>
            </c:ext>
          </c:extLst>
        </c:ser>
        <c:ser>
          <c:idx val="5"/>
          <c:order val="5"/>
          <c:tx>
            <c:strRef>
              <c:f>'Раз. по изт-придобив_ДМА 2010'!$A$56</c:f>
              <c:strCache>
                <c:ptCount val="1"/>
                <c:pt idx="0">
                  <c:v>Оперативна програма "Околна среда"</c:v>
                </c:pt>
              </c:strCache>
            </c:strRef>
          </c:tx>
          <c:spPr>
            <a:solidFill>
              <a:schemeClr val="accent6">
                <a:lumMod val="50000"/>
              </a:schemeClr>
            </a:solidFill>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B-03D4-47FC-ABFE-8C2B96106E03}"/>
                </c:ext>
              </c:extLst>
            </c:dLbl>
            <c:dLbl>
              <c:idx val="1"/>
              <c:delete val="1"/>
              <c:extLst>
                <c:ext xmlns:c15="http://schemas.microsoft.com/office/drawing/2012/chart" uri="{CE6537A1-D6FC-4f65-9D91-7224C49458BB}"/>
                <c:ext xmlns:c16="http://schemas.microsoft.com/office/drawing/2014/chart" uri="{C3380CC4-5D6E-409C-BE32-E72D297353CC}">
                  <c16:uniqueId val="{0000000C-03D4-47FC-ABFE-8C2B96106E03}"/>
                </c:ext>
              </c:extLst>
            </c:dLbl>
            <c:dLbl>
              <c:idx val="2"/>
              <c:layout>
                <c:manualLayout>
                  <c:x val="0"/>
                  <c:y val="-5.448717948717951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03D4-47FC-ABFE-8C2B96106E03}"/>
                </c:ext>
              </c:extLst>
            </c:dLbl>
            <c:dLbl>
              <c:idx val="3"/>
              <c:layout>
                <c:manualLayout>
                  <c:x val="1.6528925619834756E-2"/>
                  <c:y val="-7.371794871794883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03D4-47FC-ABFE-8C2B96106E03}"/>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2010'!$B$50:$G$50</c:f>
              <c:numCache>
                <c:formatCode>General</c:formatCode>
                <c:ptCount val="6"/>
                <c:pt idx="0">
                  <c:v>2008</c:v>
                </c:pt>
                <c:pt idx="1">
                  <c:v>2009</c:v>
                </c:pt>
                <c:pt idx="2">
                  <c:v>2010</c:v>
                </c:pt>
                <c:pt idx="3">
                  <c:v>2011</c:v>
                </c:pt>
                <c:pt idx="4">
                  <c:v>2012</c:v>
                </c:pt>
                <c:pt idx="5">
                  <c:v>2013</c:v>
                </c:pt>
              </c:numCache>
            </c:numRef>
          </c:cat>
          <c:val>
            <c:numRef>
              <c:f>'Раз. по изт-придобив_ДМА 2010'!$B$56:$G$56</c:f>
              <c:numCache>
                <c:formatCode>0.0%</c:formatCode>
                <c:ptCount val="6"/>
                <c:pt idx="0">
                  <c:v>0</c:v>
                </c:pt>
                <c:pt idx="1">
                  <c:v>0</c:v>
                </c:pt>
                <c:pt idx="2">
                  <c:v>1.5537382694826795E-3</c:v>
                </c:pt>
                <c:pt idx="3">
                  <c:v>1.8203117959808958E-3</c:v>
                </c:pt>
                <c:pt idx="4">
                  <c:v>0.17962841680741787</c:v>
                </c:pt>
                <c:pt idx="5">
                  <c:v>0.20766598093256741</c:v>
                </c:pt>
              </c:numCache>
            </c:numRef>
          </c:val>
          <c:extLst>
            <c:ext xmlns:c16="http://schemas.microsoft.com/office/drawing/2014/chart" uri="{C3380CC4-5D6E-409C-BE32-E72D297353CC}">
              <c16:uniqueId val="{0000000F-03D4-47FC-ABFE-8C2B96106E03}"/>
            </c:ext>
          </c:extLst>
        </c:ser>
        <c:ser>
          <c:idx val="6"/>
          <c:order val="6"/>
          <c:tx>
            <c:strRef>
              <c:f>'Раз. по изт-придобив_ДМА 2010'!$A$57</c:f>
              <c:strCache>
                <c:ptCount val="1"/>
                <c:pt idx="0">
                  <c:v>Заемни средства от  източници в страната</c:v>
                </c:pt>
              </c:strCache>
            </c:strRef>
          </c:tx>
          <c:spPr>
            <a:solidFill>
              <a:schemeClr val="bg1">
                <a:lumMod val="75000"/>
              </a:schemeClr>
            </a:solidFill>
          </c:spPr>
          <c:invertIfNegative val="0"/>
          <c:dLbls>
            <c:dLbl>
              <c:idx val="0"/>
              <c:layout>
                <c:manualLayout>
                  <c:x val="3.673094582185506E-3"/>
                  <c:y val="2.564102564102583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03D4-47FC-ABFE-8C2B96106E03}"/>
                </c:ext>
              </c:extLst>
            </c:dLbl>
            <c:dLbl>
              <c:idx val="1"/>
              <c:layout>
                <c:manualLayout>
                  <c:x val="0"/>
                  <c:y val="4.807692307692311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03D4-47FC-ABFE-8C2B96106E03}"/>
                </c:ext>
              </c:extLst>
            </c:dLbl>
            <c:dLbl>
              <c:idx val="2"/>
              <c:layout>
                <c:manualLayout>
                  <c:x val="1.6528925619834756E-2"/>
                  <c:y val="-4.487179487179492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03D4-47FC-ABFE-8C2B96106E03}"/>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2010'!$B$50:$G$50</c:f>
              <c:numCache>
                <c:formatCode>General</c:formatCode>
                <c:ptCount val="6"/>
                <c:pt idx="0">
                  <c:v>2008</c:v>
                </c:pt>
                <c:pt idx="1">
                  <c:v>2009</c:v>
                </c:pt>
                <c:pt idx="2">
                  <c:v>2010</c:v>
                </c:pt>
                <c:pt idx="3">
                  <c:v>2011</c:v>
                </c:pt>
                <c:pt idx="4">
                  <c:v>2012</c:v>
                </c:pt>
                <c:pt idx="5">
                  <c:v>2013</c:v>
                </c:pt>
              </c:numCache>
            </c:numRef>
          </c:cat>
          <c:val>
            <c:numRef>
              <c:f>'Раз. по изт-придобив_ДМА 2010'!$B$57:$G$57</c:f>
              <c:numCache>
                <c:formatCode>0.0%</c:formatCode>
                <c:ptCount val="6"/>
                <c:pt idx="0">
                  <c:v>7.8117117466723576E-2</c:v>
                </c:pt>
                <c:pt idx="1">
                  <c:v>2.921873821318112E-2</c:v>
                </c:pt>
                <c:pt idx="2">
                  <c:v>6.0389178378244361E-2</c:v>
                </c:pt>
                <c:pt idx="3">
                  <c:v>0.18625454326995283</c:v>
                </c:pt>
                <c:pt idx="4">
                  <c:v>8.36234531729344E-3</c:v>
                </c:pt>
                <c:pt idx="5">
                  <c:v>9.7473309773800625E-3</c:v>
                </c:pt>
              </c:numCache>
            </c:numRef>
          </c:val>
          <c:extLst>
            <c:ext xmlns:c16="http://schemas.microsoft.com/office/drawing/2014/chart" uri="{C3380CC4-5D6E-409C-BE32-E72D297353CC}">
              <c16:uniqueId val="{00000013-03D4-47FC-ABFE-8C2B96106E03}"/>
            </c:ext>
          </c:extLst>
        </c:ser>
        <c:ser>
          <c:idx val="7"/>
          <c:order val="7"/>
          <c:tx>
            <c:strRef>
              <c:f>'Раз. по изт-придобив_ДМА 2010'!$A$58</c:f>
              <c:strCache>
                <c:ptCount val="1"/>
                <c:pt idx="0">
                  <c:v>Чуждестранни източници</c:v>
                </c:pt>
              </c:strCache>
            </c:strRef>
          </c:tx>
          <c:spPr>
            <a:solidFill>
              <a:schemeClr val="accent2">
                <a:lumMod val="60000"/>
                <a:lumOff val="4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'Раз. по изт-придобив_ДМА 2010'!$B$50:$G$50</c:f>
              <c:numCache>
                <c:formatCode>General</c:formatCode>
                <c:ptCount val="6"/>
                <c:pt idx="0">
                  <c:v>2008</c:v>
                </c:pt>
                <c:pt idx="1">
                  <c:v>2009</c:v>
                </c:pt>
                <c:pt idx="2">
                  <c:v>2010</c:v>
                </c:pt>
                <c:pt idx="3">
                  <c:v>2011</c:v>
                </c:pt>
                <c:pt idx="4">
                  <c:v>2012</c:v>
                </c:pt>
                <c:pt idx="5">
                  <c:v>2013</c:v>
                </c:pt>
              </c:numCache>
            </c:numRef>
          </c:cat>
          <c:val>
            <c:numRef>
              <c:f>'Раз. по изт-придобив_ДМА 2010'!$B$58:$G$58</c:f>
              <c:numCache>
                <c:formatCode>0.0%</c:formatCode>
                <c:ptCount val="6"/>
                <c:pt idx="0">
                  <c:v>0.1957945039166662</c:v>
                </c:pt>
                <c:pt idx="1">
                  <c:v>0.19024030442471943</c:v>
                </c:pt>
                <c:pt idx="2">
                  <c:v>0.34652908920358516</c:v>
                </c:pt>
                <c:pt idx="3">
                  <c:v>8.5656784115827098E-2</c:v>
                </c:pt>
                <c:pt idx="4">
                  <c:v>4.8271345351763126E-2</c:v>
                </c:pt>
                <c:pt idx="5">
                  <c:v>9.5341806715859956E-2</c:v>
                </c:pt>
              </c:numCache>
            </c:numRef>
          </c:val>
          <c:extLst>
            <c:ext xmlns:c16="http://schemas.microsoft.com/office/drawing/2014/chart" uri="{C3380CC4-5D6E-409C-BE32-E72D297353CC}">
              <c16:uniqueId val="{00000014-03D4-47FC-ABFE-8C2B96106E03}"/>
            </c:ext>
          </c:extLst>
        </c:ser>
        <c:dLbls>
          <c:showLegendKey val="0"/>
          <c:showVal val="0"/>
          <c:showCatName val="0"/>
          <c:showSerName val="0"/>
          <c:showPercent val="0"/>
          <c:showBubbleSize val="0"/>
        </c:dLbls>
        <c:gapWidth val="150"/>
        <c:shape val="box"/>
        <c:axId val="174525440"/>
        <c:axId val="8409856"/>
        <c:axId val="0"/>
      </c:bar3DChart>
      <c:catAx>
        <c:axId val="174525440"/>
        <c:scaling>
          <c:orientation val="minMax"/>
        </c:scaling>
        <c:delete val="0"/>
        <c:axPos val="l"/>
        <c:numFmt formatCode="General" sourceLinked="1"/>
        <c:majorTickMark val="out"/>
        <c:minorTickMark val="none"/>
        <c:tickLblPos val="nextTo"/>
        <c:crossAx val="8409856"/>
        <c:crosses val="autoZero"/>
        <c:auto val="1"/>
        <c:lblAlgn val="ctr"/>
        <c:lblOffset val="100"/>
        <c:noMultiLvlLbl val="0"/>
      </c:catAx>
      <c:valAx>
        <c:axId val="8409856"/>
        <c:scaling>
          <c:orientation val="minMax"/>
        </c:scaling>
        <c:delete val="0"/>
        <c:axPos val="b"/>
        <c:majorGridlines/>
        <c:numFmt formatCode="0%" sourceLinked="1"/>
        <c:majorTickMark val="out"/>
        <c:minorTickMark val="none"/>
        <c:tickLblPos val="nextTo"/>
        <c:crossAx val="174525440"/>
        <c:crosses val="autoZero"/>
        <c:crossBetween val="between"/>
      </c:valAx>
    </c:plotArea>
    <c:legend>
      <c:legendPos val="r"/>
      <c:layout>
        <c:manualLayout>
          <c:xMode val="edge"/>
          <c:yMode val="edge"/>
          <c:x val="0.72895835937174525"/>
          <c:y val="4.3106655517584053E-2"/>
          <c:w val="0.257814127400742"/>
          <c:h val="0.94456785186262249"/>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BF050-3CFD-4519-AC2F-F879B698A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5750</Words>
  <Characters>32781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38455</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Sofia Gerganova</dc:creator>
  <cp:lastModifiedBy>user</cp:lastModifiedBy>
  <cp:revision>6</cp:revision>
  <cp:lastPrinted>2014-06-11T10:27:00Z</cp:lastPrinted>
  <dcterms:created xsi:type="dcterms:W3CDTF">2021-04-08T13:09:00Z</dcterms:created>
  <dcterms:modified xsi:type="dcterms:W3CDTF">2021-04-09T07:17:00Z</dcterms:modified>
</cp:coreProperties>
</file>